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69246">
      <w:pPr>
        <w:jc w:val="center"/>
      </w:pPr>
      <w:r>
        <w:rPr>
          <w:b/>
          <w:bCs/>
          <w:color w:val="1F4E78"/>
          <w:sz w:val="20"/>
          <w:szCs w:val="20"/>
        </w:rPr>
        <w:t>AnalystLab Africa — Data Analytics Internship Programme</w:t>
      </w:r>
    </w:p>
    <w:p w14:paraId="0B1346DB">
      <w:pPr>
        <w:spacing w:before="120" w:after="60"/>
        <w:jc w:val="center"/>
      </w:pPr>
      <w:r>
        <w:rPr>
          <w:b/>
          <w:bCs/>
          <w:color w:val="1F4E78"/>
          <w:sz w:val="38"/>
          <w:szCs w:val="38"/>
        </w:rPr>
        <w:t>KPI &amp; DAX Measures Documentation</w:t>
      </w:r>
    </w:p>
    <w:p w14:paraId="2DEBE4EC"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>Week 3 — Global Superstore Dashboard</w:t>
      </w:r>
    </w:p>
    <w:p w14:paraId="6B3FF237">
      <w:pPr>
        <w:pBdr>
          <w:bottom w:val="single" w:color="1F4E78" w:sz="6" w:space="8"/>
        </w:pBdr>
        <w:spacing w:after="300"/>
        <w:jc w:val="center"/>
      </w:pPr>
      <w:r>
        <w:rPr>
          <w:color w:val="595959"/>
          <w:sz w:val="20"/>
          <w:szCs w:val="20"/>
        </w:rPr>
        <w:t xml:space="preserve">Prepared by: </w:t>
      </w:r>
      <w:r>
        <w:rPr>
          <w:rFonts w:hint="default"/>
          <w:color w:val="595959"/>
          <w:sz w:val="20"/>
          <w:szCs w:val="20"/>
          <w:lang w:val="en-US"/>
        </w:rPr>
        <w:t xml:space="preserve">Ekenga </w:t>
      </w:r>
      <w:r>
        <w:rPr>
          <w:color w:val="595959"/>
          <w:sz w:val="20"/>
          <w:szCs w:val="20"/>
        </w:rPr>
        <w:t>Dorothy | Tool: Microsoft Power BI (DAX)</w:t>
      </w:r>
    </w:p>
    <w:p w14:paraId="574039EB">
      <w:pPr>
        <w:pStyle w:val="2"/>
        <w:spacing w:before="320" w:after="150"/>
      </w:pPr>
      <w:r>
        <w:t>1. Key Performance Indicators (KPIs)</w:t>
      </w:r>
    </w:p>
    <w:p w14:paraId="760829B3">
      <w:pPr>
        <w:spacing w:after="140"/>
        <w:jc w:val="both"/>
      </w:pPr>
      <w:r>
        <w:rPr>
          <w:sz w:val="22"/>
          <w:szCs w:val="22"/>
        </w:rPr>
        <w:t>Six KPIs were selected for the dashboard's KPI section, each chosen because it directly supports a specific management decision rather than being included for completeness.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2"/>
        <w:gridCol w:w="1587"/>
        <w:gridCol w:w="6151"/>
      </w:tblGrid>
      <w:tr w14:paraId="418B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1A22E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800" w:type="pct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60B56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100" w:type="pct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C7056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14:paraId="3FFBC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3B9AF">
            <w:r>
              <w:rPr>
                <w:sz w:val="19"/>
                <w:szCs w:val="19"/>
              </w:rPr>
              <w:t>Total Sales</w:t>
            </w:r>
          </w:p>
        </w:tc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DA139">
            <w:r>
              <w:rPr>
                <w:sz w:val="19"/>
                <w:szCs w:val="19"/>
              </w:rPr>
              <w:t>$12.64M</w:t>
            </w:r>
          </w:p>
        </w:tc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EC9FD">
            <w:r>
              <w:rPr>
                <w:sz w:val="19"/>
                <w:szCs w:val="19"/>
              </w:rPr>
              <w:t>Top-line revenue benchmark for overall business scale</w:t>
            </w:r>
          </w:p>
        </w:tc>
      </w:tr>
      <w:tr w14:paraId="39FD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A0E66">
            <w:r>
              <w:rPr>
                <w:sz w:val="19"/>
                <w:szCs w:val="19"/>
              </w:rPr>
              <w:t>Total Profit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D67D3">
            <w:r>
              <w:rPr>
                <w:sz w:val="19"/>
                <w:szCs w:val="19"/>
              </w:rPr>
              <w:t>$1.47M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E12F2">
            <w:r>
              <w:rPr>
                <w:sz w:val="19"/>
                <w:szCs w:val="19"/>
              </w:rPr>
              <w:t>Bottom-line health — sales alone can be misleading</w:t>
            </w:r>
          </w:p>
        </w:tc>
      </w:tr>
      <w:tr w14:paraId="56089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81378">
            <w:r>
              <w:rPr>
                <w:sz w:val="19"/>
                <w:szCs w:val="19"/>
              </w:rPr>
              <w:t>Total Orders</w:t>
            </w:r>
          </w:p>
        </w:tc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8ADAB">
            <w:r>
              <w:rPr>
                <w:sz w:val="19"/>
                <w:szCs w:val="19"/>
              </w:rPr>
              <w:t>25,035</w:t>
            </w:r>
          </w:p>
        </w:tc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95A26">
            <w:r>
              <w:rPr>
                <w:sz w:val="19"/>
                <w:szCs w:val="19"/>
              </w:rPr>
              <w:t>Volume of business activity, independent of order size</w:t>
            </w:r>
          </w:p>
        </w:tc>
      </w:tr>
      <w:tr w14:paraId="1C61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ACEF5">
            <w:r>
              <w:rPr>
                <w:sz w:val="19"/>
                <w:szCs w:val="19"/>
              </w:rPr>
              <w:t>Total Customers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7D6FD">
            <w:r>
              <w:rPr>
                <w:sz w:val="19"/>
                <w:szCs w:val="19"/>
              </w:rPr>
              <w:t>1,590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DB59C">
            <w:r>
              <w:rPr>
                <w:sz w:val="19"/>
                <w:szCs w:val="19"/>
              </w:rPr>
              <w:t>Customer base size — indicates diversification vs. concentration risk</w:t>
            </w:r>
          </w:p>
        </w:tc>
      </w:tr>
      <w:tr w14:paraId="666D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6B523">
            <w:r>
              <w:rPr>
                <w:sz w:val="19"/>
                <w:szCs w:val="19"/>
              </w:rPr>
              <w:t>Profit Margin</w:t>
            </w:r>
          </w:p>
        </w:tc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99A74">
            <w:r>
              <w:rPr>
                <w:sz w:val="19"/>
                <w:szCs w:val="19"/>
              </w:rPr>
              <w:t>11.6%</w:t>
            </w:r>
          </w:p>
        </w:tc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8797C">
            <w:r>
              <w:rPr>
                <w:sz w:val="19"/>
                <w:szCs w:val="19"/>
              </w:rPr>
              <w:t>Efficiency of converting sales into profit; the number most sensitive to discounting</w:t>
            </w:r>
          </w:p>
        </w:tc>
      </w:tr>
      <w:tr w14:paraId="46368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C8457">
            <w:r>
              <w:rPr>
                <w:sz w:val="19"/>
                <w:szCs w:val="19"/>
              </w:rPr>
              <w:t>Average Sales per Order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E1E78">
            <w:r>
              <w:rPr>
                <w:sz w:val="19"/>
                <w:szCs w:val="19"/>
              </w:rPr>
              <w:t>$505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A52D3">
            <w:r>
              <w:rPr>
                <w:sz w:val="19"/>
                <w:szCs w:val="19"/>
              </w:rPr>
              <w:t>Typical order value — a drop here signals more, smaller orders rather than fewer, larger ones</w:t>
            </w:r>
          </w:p>
        </w:tc>
      </w:tr>
    </w:tbl>
    <w:p w14:paraId="5FFE41B2">
      <w:pPr>
        <w:spacing w:after="100"/>
      </w:pPr>
    </w:p>
    <w:p w14:paraId="76959ADE">
      <w:pPr>
        <w:spacing w:after="140"/>
        <w:jc w:val="both"/>
      </w:pPr>
      <w:r>
        <w:rPr>
          <w:sz w:val="22"/>
          <w:szCs w:val="22"/>
        </w:rPr>
        <w:t>Two supporting KPIs are also tracked on the dashboard's secondary page to support the discount and quality investigation in Section 2 of the Advanced Data Analysis report: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2"/>
        <w:gridCol w:w="1587"/>
        <w:gridCol w:w="6151"/>
      </w:tblGrid>
      <w:tr w14:paraId="73340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BE240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800" w:type="pct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30605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100" w:type="pct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12B8B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14:paraId="563C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B9D6C">
            <w:r>
              <w:rPr>
                <w:sz w:val="19"/>
                <w:szCs w:val="19"/>
              </w:rPr>
              <w:t>Average Discount</w:t>
            </w:r>
          </w:p>
        </w:tc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8B55A">
            <w:r>
              <w:rPr>
                <w:sz w:val="19"/>
                <w:szCs w:val="19"/>
              </w:rPr>
              <w:t>14.3%</w:t>
            </w:r>
          </w:p>
        </w:tc>
        <w:tc>
          <w:tcPr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0E3A0">
            <w:r>
              <w:rPr>
                <w:sz w:val="19"/>
                <w:szCs w:val="19"/>
              </w:rPr>
              <w:t>Company-wide discount level relative to the 20% threshold where profit turns negative</w:t>
            </w:r>
          </w:p>
        </w:tc>
      </w:tr>
      <w:tr w14:paraId="41BF8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71535">
            <w:r>
              <w:rPr>
                <w:sz w:val="19"/>
                <w:szCs w:val="19"/>
              </w:rPr>
              <w:t>Loss-Making Order Lines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5AB35">
            <w:r>
              <w:rPr>
                <w:sz w:val="19"/>
                <w:szCs w:val="19"/>
              </w:rPr>
              <w:t>12,544 (24.5%)</w:t>
            </w:r>
          </w:p>
        </w:tc>
        <w:tc>
          <w:tcPr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86B47">
            <w:r>
              <w:rPr>
                <w:sz w:val="19"/>
                <w:szCs w:val="19"/>
              </w:rPr>
              <w:t>Direct measure of how much of the business is currently unprofitable at the transaction level</w:t>
            </w:r>
          </w:p>
        </w:tc>
      </w:tr>
    </w:tbl>
    <w:p w14:paraId="005FEA18">
      <w:pPr>
        <w:pStyle w:val="2"/>
        <w:spacing w:before="320" w:after="150"/>
      </w:pPr>
      <w:r>
        <w:t>2. DAX Measures</w:t>
      </w:r>
    </w:p>
    <w:p w14:paraId="34E777DF">
      <w:pPr>
        <w:spacing w:after="140"/>
        <w:jc w:val="both"/>
      </w:pPr>
      <w:r>
        <w:rPr>
          <w:sz w:val="22"/>
          <w:szCs w:val="22"/>
        </w:rPr>
        <w:t>All measures are stored in a dedicated Measures table, separate from the Superstore_Data fact table, for clarity and reuse across visuals.</w:t>
      </w:r>
    </w:p>
    <w:p w14:paraId="60D2622F">
      <w:pPr>
        <w:pStyle w:val="3"/>
        <w:spacing w:before="220" w:after="100"/>
      </w:pPr>
      <w:r>
        <w:t>Total Sales</w:t>
      </w:r>
    </w:p>
    <w:p w14:paraId="1B8D7A17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Total Sales = SUM(Superstore_Data[Sales])</w:t>
      </w:r>
    </w:p>
    <w:p w14:paraId="3AEA55D1">
      <w:pPr>
        <w:pStyle w:val="3"/>
        <w:spacing w:before="220" w:after="100"/>
      </w:pPr>
      <w:r>
        <w:t>Total Profit</w:t>
      </w:r>
    </w:p>
    <w:p w14:paraId="0786999F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Total Profit = SUM(Superstore_Data[Profit])</w:t>
      </w:r>
    </w:p>
    <w:p w14:paraId="397F8E06">
      <w:pPr>
        <w:pStyle w:val="3"/>
        <w:spacing w:before="220" w:after="100"/>
      </w:pPr>
      <w:r>
        <w:t>Total Orders</w:t>
      </w:r>
    </w:p>
    <w:p w14:paraId="30399267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Total Orders = DISTINCTCOUNT(Superstore_Data[Order ID])</w:t>
      </w:r>
    </w:p>
    <w:p w14:paraId="2891D462">
      <w:pPr>
        <w:pStyle w:val="3"/>
        <w:spacing w:before="220" w:after="100"/>
      </w:pPr>
      <w:r>
        <w:t>Total Customers</w:t>
      </w:r>
    </w:p>
    <w:p w14:paraId="03A64031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Total Customers = DISTINCTCOUNT(Superstore_Data[Customer ID])</w:t>
      </w:r>
    </w:p>
    <w:p w14:paraId="4B64D2E2">
      <w:pPr>
        <w:pStyle w:val="3"/>
        <w:spacing w:before="220" w:after="100"/>
      </w:pPr>
      <w:r>
        <w:t>Profit Margin %</w:t>
      </w:r>
    </w:p>
    <w:p w14:paraId="06910580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Profit Margin % = DIVIDE([Total Profit], [Total Sales])</w:t>
      </w:r>
    </w:p>
    <w:p w14:paraId="402D23EF">
      <w:pPr>
        <w:pStyle w:val="3"/>
        <w:spacing w:before="220" w:after="100"/>
      </w:pPr>
      <w:r>
        <w:t>Average Sales per Order</w:t>
      </w:r>
    </w:p>
    <w:p w14:paraId="018C598C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Average Sales per Order = DIVIDE([Total Sales], [Total Orders])</w:t>
      </w:r>
    </w:p>
    <w:p w14:paraId="37CAD828">
      <w:pPr>
        <w:pStyle w:val="3"/>
        <w:spacing w:before="220" w:after="100"/>
      </w:pPr>
      <w:r>
        <w:t>Average Discount</w:t>
      </w:r>
    </w:p>
    <w:p w14:paraId="3317438F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Average Discount = AVERAGE(Superstore_Data[Discount])</w:t>
      </w:r>
    </w:p>
    <w:p w14:paraId="74770C36">
      <w:pPr>
        <w:pStyle w:val="3"/>
        <w:spacing w:before="220" w:after="100"/>
      </w:pPr>
      <w:r>
        <w:t>Loss-Making Order Lines</w:t>
      </w:r>
    </w:p>
    <w:p w14:paraId="52EAC34B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Loss-Making Order Lines =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CALCULATE(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COUNTROWS(Superstore_Data),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Superstore_Data[Profit] &lt; 0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)</w:t>
      </w:r>
    </w:p>
    <w:p w14:paraId="2C350C1E">
      <w:pPr>
        <w:pStyle w:val="3"/>
        <w:spacing w:before="220" w:after="100"/>
      </w:pPr>
      <w:r>
        <w:t>Sales Growth % (Year-over-Year)</w:t>
      </w:r>
    </w:p>
    <w:p w14:paraId="0DDBE8A7">
      <w:pPr>
        <w:spacing w:after="140"/>
        <w:jc w:val="both"/>
      </w:pPr>
      <w:r>
        <w:rPr>
          <w:sz w:val="22"/>
          <w:szCs w:val="22"/>
        </w:rPr>
        <w:t>Requires a dedicated Calendar table, marked as the model's Date Table and related to Order Date, so that SAMEPERIODLASTYEAR can resolve a single prior-year value:</w:t>
      </w:r>
    </w:p>
    <w:p w14:paraId="047AF3C6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Sales Growth % =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VAR CurrentPeriod = [Total Sales]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VAR PriorPeriod =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CALCULATE([Total Sales], SAMEPERIODLASTYEAR('Calendar'[Date]))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RETURN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DIVIDE(CurrentPeriod - PriorPeriod, PriorPeriod)</w:t>
      </w:r>
    </w:p>
    <w:p w14:paraId="0A5B8055">
      <w:pPr>
        <w:pStyle w:val="3"/>
        <w:spacing w:before="220" w:after="100"/>
      </w:pPr>
      <w:r>
        <w:t>Profit Growth % (Year-over-Year)</w:t>
      </w:r>
    </w:p>
    <w:p w14:paraId="3F378C3E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Profit Growth % =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VAR CurrentPeriod = [Total Profit]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VAR PriorPeriod =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CALCULATE([Total Profit], SAMEPERIODLASTYEAR('Calendar'[Date]))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RETURN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DIVIDE(CurrentPeriod - PriorPeriod, PriorPeriod)</w:t>
      </w:r>
    </w:p>
    <w:p w14:paraId="2887F1C4">
      <w:pPr>
        <w:pStyle w:val="2"/>
        <w:spacing w:before="320" w:after="150"/>
      </w:pPr>
      <w:r>
        <w:t>3. Calculated Columns</w:t>
      </w:r>
    </w:p>
    <w:p w14:paraId="373547F9">
      <w:pPr>
        <w:spacing w:after="140"/>
        <w:jc w:val="both"/>
      </w:pPr>
      <w:r>
        <w:rPr>
          <w:sz w:val="22"/>
          <w:szCs w:val="22"/>
        </w:rPr>
        <w:t>Two calculated columns support the discount analysis visuals. Unlike measures, these are stored per-row on the Superstore_Data table, since each row needs its own fixed discount band label rather than an aggregated result.</w:t>
      </w:r>
    </w:p>
    <w:p w14:paraId="1E619FAA">
      <w:pPr>
        <w:pStyle w:val="3"/>
        <w:spacing w:before="220" w:after="100"/>
      </w:pPr>
      <w:r>
        <w:t>Discount Band</w:t>
      </w:r>
    </w:p>
    <w:p w14:paraId="24C17154">
      <w:pPr>
        <w:spacing w:after="140"/>
        <w:jc w:val="both"/>
      </w:pPr>
      <w:r>
        <w:rPr>
          <w:sz w:val="22"/>
          <w:szCs w:val="22"/>
        </w:rPr>
        <w:t>Groups each order line into a discount tier, used as the axis for the Profit Margin by Discount Level chart:</w:t>
      </w:r>
    </w:p>
    <w:p w14:paraId="06885727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Discount Band =</w:t>
      </w:r>
      <w:bookmarkStart w:id="0" w:name="_GoBack"/>
      <w:bookmarkEnd w:id="0"/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SWITCH(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TRUE(),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Superstore_Data[Discount] = 0, "0%",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Superstore_Data[Discount] &lt;= 0.2, "1-20%",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Superstore_Data[Discount] &lt;= 0.4, "21-40%",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Superstore_Data[Discount] &lt;= 0.6, "41-60%",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"60%+"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)</w:t>
      </w:r>
    </w:p>
    <w:p w14:paraId="34F4194F">
      <w:pPr>
        <w:pStyle w:val="3"/>
        <w:spacing w:before="220" w:after="100"/>
      </w:pPr>
      <w:r>
        <w:t>Discount Band Order</w:t>
      </w:r>
    </w:p>
    <w:p w14:paraId="5E3D0F63">
      <w:pPr>
        <w:spacing w:after="140"/>
        <w:jc w:val="both"/>
      </w:pPr>
      <w:r>
        <w:rPr>
          <w:sz w:val="22"/>
          <w:szCs w:val="22"/>
        </w:rPr>
        <w:t>A numeric sort key, since the band labels are text and would otherwise sort alphabetically rather than in logical (0% → 60%+) order. Applied to Discount Band via Column Tools → Sort by Column:</w:t>
      </w:r>
    </w:p>
    <w:p w14:paraId="1037650A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40" w:after="160"/>
      </w:pPr>
      <w:r>
        <w:rPr>
          <w:rFonts w:ascii="Consolas" w:hAnsi="Consolas" w:eastAsia="Consolas" w:cs="Consolas"/>
          <w:color w:val="1F4E78"/>
          <w:sz w:val="20"/>
          <w:szCs w:val="20"/>
        </w:rPr>
        <w:t>Discount Band Order =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SWITCH(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TRUE(),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Superstore_Data[Discount] = 0, 1,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Superstore_Data[Discount] &lt;= 0.2, 2,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Superstore_Data[Discount] &lt;= 0.4, 3,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Superstore_Data[Discount] &lt;= 0.6, 4,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 xml:space="preserve">    5</w:t>
      </w:r>
      <w:r>
        <w:rPr>
          <w:rFonts w:ascii="Consolas" w:hAnsi="Consolas" w:eastAsia="Consolas" w:cs="Consolas"/>
          <w:color w:val="1F4E78"/>
          <w:sz w:val="20"/>
          <w:szCs w:val="20"/>
        </w:rPr>
        <w:br w:type="textWrapping"/>
      </w:r>
      <w:r>
        <w:rPr>
          <w:rFonts w:ascii="Consolas" w:hAnsi="Consolas" w:eastAsia="Consolas" w:cs="Consolas"/>
          <w:color w:val="1F4E78"/>
          <w:sz w:val="20"/>
          <w:szCs w:val="20"/>
        </w:rPr>
        <w:t>)</w:t>
      </w:r>
    </w:p>
    <w:p w14:paraId="63999C8E">
      <w:pPr>
        <w:pBdr>
          <w:top w:val="single" w:color="BFBFBF" w:sz="4" w:space="8"/>
        </w:pBdr>
      </w:pPr>
    </w:p>
    <w:p w14:paraId="0DAC0DB8">
      <w:pPr>
        <w:spacing w:before="120"/>
        <w:jc w:val="center"/>
      </w:pPr>
      <w:r>
        <w:rPr>
          <w:i/>
          <w:iCs/>
          <w:color w:val="595959"/>
          <w:sz w:val="18"/>
          <w:szCs w:val="18"/>
        </w:rPr>
        <w:t>AnalystLab Africa · Week 3 Submission</w:t>
      </w: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82D4E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523</Words>
  <Characters>3256</Characters>
  <TotalTime>16</TotalTime>
  <ScaleCrop>false</ScaleCrop>
  <LinksUpToDate>false</LinksUpToDate>
  <CharactersWithSpaces>3752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2026-08-21T12:20:00Z</dcterms:created>
  <dc:creator>Un-named</dc:creator>
  <cp:lastModifiedBy>Ekenga Dorothy</cp:lastModifiedBy>
  <dcterms:modified xsi:type="dcterms:W3CDTF">2026-08-23T13:03:24Z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eyJoZGlkIjoiYTkxMmIyNzBlY2I0NjI3MGJiMjEyNWFjNTZjMzY1OGIiLCJ1c2VySWQiOiIyNzY2Mjk3NTY4MTg4In0=</vt:lpwstr>
  </property>
  <property fmtid="{D5CDD505-2E9C-101B-9397-08002B2CF9AE}" pid="3" name="KSOProductBuildVer">
    <vt:lpwstr>1033-12.1.0.28032</vt:lpwstr>
  </property>
  <property fmtid="{D5CDD505-2E9C-101B-9397-08002B2CF9AE}" pid="4" name="ICV">
    <vt:lpwstr>97A4744E6CEA4052BED9599FFEACCCD9_12</vt:lpwstr>
  </property>
</Properties>
</file>