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right" w:pos="10512" w:leader="none"/>
        </w:tabs>
        <w:spacing w:lineRule="auto" w:line="240" w:before="0" w:after="0"/>
        <w:jc w:val="center"/>
        <w:rPr>
          <w:b/>
          <w:smallCaps/>
          <w:sz w:val="32"/>
          <w:szCs w:val="32"/>
        </w:rPr>
      </w:pPr>
      <w:r>
        <w:rPr>
          <w:b/>
          <w:smallCaps/>
          <w:sz w:val="32"/>
          <w:szCs w:val="32"/>
        </w:rPr>
        <w:t>DAVID O.</w:t>
      </w:r>
    </w:p>
    <w:p>
      <w:pPr>
        <w:pStyle w:val="Normal1"/>
        <w:tabs>
          <w:tab w:val="clear" w:pos="720"/>
          <w:tab w:val="right" w:pos="10512" w:leader="none"/>
        </w:tabs>
        <w:spacing w:lineRule="auto" w:line="240" w:before="0" w:after="0"/>
        <w:jc w:val="center"/>
        <w:rPr>
          <w:sz w:val="20"/>
          <w:szCs w:val="20"/>
          <w:highlight w:val="white"/>
        </w:rPr>
      </w:pPr>
      <w:r>
        <w:rPr>
          <w:sz w:val="20"/>
          <w:szCs w:val="20"/>
        </w:rPr>
        <w:t xml:space="preserve">Orange County, CA 92841| NMLS: </w:t>
      </w:r>
      <w:r>
        <w:rPr>
          <w:b/>
          <w:sz w:val="20"/>
          <w:szCs w:val="20"/>
        </w:rPr>
        <w:t xml:space="preserve">2116936 </w:t>
      </w:r>
      <w:r>
        <w:rPr>
          <w:sz w:val="20"/>
          <w:szCs w:val="20"/>
        </w:rPr>
        <w:t xml:space="preserve">|562.528.2788 | </w:t>
      </w:r>
      <w:r>
        <w:rPr>
          <w:sz w:val="20"/>
          <w:szCs w:val="20"/>
          <w:highlight w:val="white"/>
        </w:rPr>
        <w:t>David.ortiz.lending@gmail.com</w:t>
      </w:r>
      <w:r>
        <w:rPr>
          <w:sz w:val="20"/>
          <w:szCs w:val="20"/>
        </w:rPr>
        <w:t xml:space="preserve">| </w:t>
      </w:r>
      <w:r>
        <w:rPr>
          <w:sz w:val="20"/>
          <w:szCs w:val="20"/>
          <w:highlight w:val="white"/>
        </w:rPr>
        <w:t>Linkedin.com/in/davidortiz-lending/</w:t>
      </w:r>
    </w:p>
    <w:p>
      <w:pPr>
        <w:pStyle w:val="Normal1"/>
        <w:pBdr>
          <w:bottom w:val="single" w:sz="12" w:space="1" w:color="000000"/>
        </w:pBdr>
        <w:tabs>
          <w:tab w:val="clear" w:pos="720"/>
          <w:tab w:val="right" w:pos="10512" w:leader="none"/>
        </w:tabs>
        <w:spacing w:lineRule="auto" w:line="240" w:before="0" w:after="0"/>
        <w:jc w:val="center"/>
        <w:rPr>
          <w:sz w:val="20"/>
          <w:szCs w:val="20"/>
        </w:rPr>
      </w:pPr>
      <w:r>
        <w:rPr>
          <w:sz w:val="20"/>
          <w:szCs w:val="20"/>
        </w:rPr>
      </w:r>
    </w:p>
    <w:p>
      <w:pPr>
        <w:pStyle w:val="Normal1"/>
        <w:tabs>
          <w:tab w:val="clear" w:pos="720"/>
          <w:tab w:val="right" w:pos="10512" w:leader="none"/>
        </w:tabs>
        <w:spacing w:lineRule="auto" w:line="240" w:before="60" w:after="60"/>
        <w:rPr>
          <w:b/>
          <w:sz w:val="21"/>
          <w:szCs w:val="21"/>
          <w:highlight w:val="white"/>
        </w:rPr>
      </w:pPr>
      <w:r>
        <w:rPr>
          <w:b/>
          <w:sz w:val="21"/>
          <w:szCs w:val="21"/>
          <w:highlight w:val="white"/>
        </w:rPr>
      </w:r>
    </w:p>
    <w:p>
      <w:pPr>
        <w:pStyle w:val="Normal1"/>
        <w:shd w:val="clear" w:fill="0D0D0D"/>
        <w:spacing w:lineRule="auto" w:line="240" w:before="0" w:after="0"/>
        <w:jc w:val="center"/>
        <w:rPr>
          <w:rFonts w:ascii="Quattrocento Sans" w:hAnsi="Quattrocento Sans" w:eastAsia="Quattrocento Sans" w:cs="Quattrocento Sans"/>
          <w:b/>
          <w:color w:val="FFFFFF"/>
          <w:sz w:val="19"/>
          <w:szCs w:val="19"/>
        </w:rPr>
      </w:pPr>
      <w:r>
        <w:rPr>
          <w:rFonts w:eastAsia="Quattrocento Sans" w:cs="Quattrocento Sans" w:ascii="Quattrocento Sans" w:hAnsi="Quattrocento Sans"/>
          <w:b/>
          <w:color w:val="FFFFFF"/>
          <w:sz w:val="19"/>
          <w:szCs w:val="19"/>
        </w:rPr>
        <w:t>PROFESSIONAL SUMMARY</w:t>
      </w:r>
    </w:p>
    <w:p>
      <w:pPr>
        <w:sectPr>
          <w:headerReference w:type="default" r:id="rId2"/>
          <w:headerReference w:type="first" r:id="rId3"/>
          <w:footerReference w:type="default" r:id="rId4"/>
          <w:footerReference w:type="first" r:id="rId5"/>
          <w:type w:val="nextPage"/>
          <w:pgSz w:w="12240" w:h="15840"/>
          <w:pgMar w:left="737" w:right="737" w:gutter="0" w:header="510" w:top="737" w:footer="510" w:bottom="737"/>
          <w:pgNumType w:start="1" w:fmt="decimal"/>
          <w:formProt w:val="false"/>
          <w:titlePg/>
          <w:textDirection w:val="lrTb"/>
          <w:docGrid w:type="default" w:linePitch="100" w:charSpace="4096"/>
        </w:sectPr>
      </w:pPr>
    </w:p>
    <w:p>
      <w:pPr>
        <w:pStyle w:val="Normal1"/>
        <w:shd w:val="clear" w:fill="FFFFFF"/>
        <w:spacing w:lineRule="auto" w:line="240" w:before="0" w:after="0"/>
        <w:jc w:val="both"/>
        <w:rPr>
          <w:sz w:val="20"/>
          <w:szCs w:val="20"/>
        </w:rPr>
      </w:pPr>
      <w:r>
        <w:rPr>
          <w:sz w:val="20"/>
          <w:szCs w:val="20"/>
        </w:rPr>
        <w:t>Dual-licensed California Real Estate Salesperson (exam passed) and NMLS Mortgage Loan Originator with 7+ years of combined experience in real estate finance, debt resolution, and client advising. Delivered high-volume deal support and operational efficiency improvements across mortgage, lending, and real estate sectors. Skilled in credit risk analysis, loan structuring, and automation projects using Google Workspace, Gmail API, App Script, Excel dashboards, and project management platforms. Experienced in fully remote and hybrid environments, coordinating cross-functional stakeholders via Slack and Zoom. Currently advancing Data Science and advanced Excel expertise at Arizona State University to strengthen analytical and operational capabilities.</w:t>
      </w:r>
    </w:p>
    <w:p>
      <w:pPr>
        <w:pStyle w:val="Normal1"/>
        <w:shd w:val="clear" w:fill="FFFFFF"/>
        <w:spacing w:lineRule="auto" w:line="240" w:before="0" w:after="0"/>
        <w:jc w:val="both"/>
        <w:rPr>
          <w:sz w:val="20"/>
          <w:szCs w:val="20"/>
        </w:rPr>
      </w:pPr>
      <w:r>
        <w:rPr>
          <w:sz w:val="20"/>
          <w:szCs w:val="20"/>
        </w:rPr>
      </w:r>
    </w:p>
    <w:p>
      <w:pPr>
        <w:pStyle w:val="Normal1"/>
        <w:tabs>
          <w:tab w:val="clear" w:pos="720"/>
          <w:tab w:val="right" w:pos="10800" w:leader="none"/>
        </w:tabs>
        <w:spacing w:lineRule="auto" w:line="240" w:before="0" w:after="60"/>
        <w:ind w:hanging="181" w:left="181"/>
        <w:jc w:val="center"/>
        <w:rPr>
          <w:rFonts w:ascii="Quattrocento Sans" w:hAnsi="Quattrocento Sans" w:eastAsia="Quattrocento Sans" w:cs="Quattrocento Sans"/>
          <w:b/>
          <w:sz w:val="19"/>
          <w:szCs w:val="19"/>
          <w:u w:val="single"/>
        </w:rPr>
      </w:pPr>
      <w:r>
        <w:rPr>
          <w:rFonts w:eastAsia="Quattrocento Sans" w:cs="Quattrocento Sans" w:ascii="Quattrocento Sans" w:hAnsi="Quattrocento Sans"/>
          <w:b/>
          <w:sz w:val="19"/>
          <w:szCs w:val="19"/>
          <w:u w:val="single"/>
        </w:rPr>
        <w:t>CORE COMPETENCIES</w:t>
      </w:r>
    </w:p>
    <w:p>
      <w:pPr>
        <w:pStyle w:val="Normal1"/>
        <w:spacing w:lineRule="auto" w:line="276" w:before="0" w:after="0"/>
        <w:rPr>
          <w:sz w:val="20"/>
          <w:szCs w:val="20"/>
        </w:rPr>
      </w:pPr>
      <w:r>
        <w:rPr>
          <w:b/>
          <w:sz w:val="20"/>
          <w:szCs w:val="20"/>
        </w:rPr>
        <w:t>Compliance &amp; Regulations</w:t>
      </w:r>
      <w:r>
        <w:rPr>
          <w:sz w:val="20"/>
          <w:szCs w:val="20"/>
        </w:rPr>
        <w:t xml:space="preserve">: Multistate Licensing NMLS | TRID and Dodd-Frank Compliance </w:t>
      </w:r>
    </w:p>
    <w:p>
      <w:pPr>
        <w:pStyle w:val="Normal1"/>
        <w:spacing w:lineRule="auto" w:line="276" w:before="0" w:after="0"/>
        <w:rPr>
          <w:sz w:val="20"/>
          <w:szCs w:val="20"/>
        </w:rPr>
      </w:pPr>
      <w:r>
        <w:rPr>
          <w:b/>
          <w:sz w:val="20"/>
          <w:szCs w:val="20"/>
        </w:rPr>
        <w:t>Loan Programs &amp; Types</w:t>
      </w:r>
      <w:r>
        <w:rPr>
          <w:sz w:val="20"/>
          <w:szCs w:val="20"/>
        </w:rPr>
        <w:t>: FHA/VA | Commercial Mortgages| Residential Mortgages | Business Loans | Investor Lending | Private Money</w:t>
      </w:r>
    </w:p>
    <w:p>
      <w:pPr>
        <w:pStyle w:val="Normal1"/>
        <w:spacing w:lineRule="auto" w:line="276" w:before="0" w:after="0"/>
        <w:rPr>
          <w:sz w:val="20"/>
          <w:szCs w:val="20"/>
        </w:rPr>
      </w:pPr>
      <w:r>
        <w:rPr>
          <w:b/>
          <w:sz w:val="20"/>
          <w:szCs w:val="20"/>
        </w:rPr>
        <w:t>Process &amp; Documentation</w:t>
      </w:r>
      <w:r>
        <w:rPr>
          <w:sz w:val="20"/>
          <w:szCs w:val="20"/>
        </w:rPr>
        <w:t xml:space="preserve">:Mortgage Loan Processing | Loan Origination | Loan Documentation | DE Mortgage Underwriting | Recordkeeping </w:t>
      </w:r>
    </w:p>
    <w:p>
      <w:pPr>
        <w:pStyle w:val="Normal1"/>
        <w:spacing w:lineRule="auto" w:line="276" w:before="0" w:after="0"/>
        <w:rPr>
          <w:sz w:val="20"/>
          <w:szCs w:val="20"/>
        </w:rPr>
      </w:pPr>
      <w:r>
        <w:rPr>
          <w:b/>
          <w:sz w:val="20"/>
          <w:szCs w:val="20"/>
        </w:rPr>
        <w:t>Risk &amp; Financial Analysis</w:t>
      </w:r>
      <w:r>
        <w:rPr>
          <w:sz w:val="20"/>
          <w:szCs w:val="20"/>
        </w:rPr>
        <w:t>:Credit Analysis | Income &amp; Tax Analysis | Risk Management | Cost-Benefit Analysis</w:t>
      </w:r>
    </w:p>
    <w:p>
      <w:pPr>
        <w:pStyle w:val="Normal1"/>
        <w:spacing w:lineRule="auto" w:line="276" w:before="0" w:after="0"/>
        <w:rPr>
          <w:sz w:val="20"/>
          <w:szCs w:val="20"/>
        </w:rPr>
      </w:pPr>
      <w:r>
        <w:rPr>
          <w:b/>
          <w:sz w:val="20"/>
          <w:szCs w:val="20"/>
        </w:rPr>
        <w:t>Client &amp; Industry Relations</w:t>
      </w:r>
      <w:r>
        <w:rPr>
          <w:sz w:val="20"/>
          <w:szCs w:val="20"/>
        </w:rPr>
        <w:t xml:space="preserve">: Client Relations Management | Sales | Contract Negotiation | Close Deals | Conflict Resolution | Mortgage Industry  </w:t>
      </w:r>
    </w:p>
    <w:p>
      <w:pPr>
        <w:pStyle w:val="Normal1"/>
        <w:spacing w:lineRule="auto" w:line="276" w:before="0" w:after="0"/>
        <w:rPr>
          <w:sz w:val="20"/>
          <w:szCs w:val="20"/>
        </w:rPr>
      </w:pPr>
      <w:r>
        <w:rPr>
          <w:b/>
          <w:sz w:val="20"/>
          <w:szCs w:val="20"/>
        </w:rPr>
        <w:t>Expertise</w:t>
      </w:r>
      <w:r>
        <w:rPr>
          <w:sz w:val="20"/>
          <w:szCs w:val="20"/>
        </w:rPr>
        <w:t>: Finance | Financial Services | Real Estate | Macroeconomics |Banking</w:t>
      </w:r>
    </w:p>
    <w:p>
      <w:pPr>
        <w:pStyle w:val="Normal1"/>
        <w:spacing w:lineRule="auto" w:line="276" w:before="0" w:after="0"/>
        <w:rPr>
          <w:sz w:val="20"/>
          <w:szCs w:val="20"/>
        </w:rPr>
      </w:pPr>
      <w:r>
        <w:rPr>
          <w:b/>
          <w:sz w:val="20"/>
          <w:szCs w:val="20"/>
        </w:rPr>
        <w:t>Tools &amp; Systems</w:t>
      </w:r>
      <w:r>
        <w:rPr>
          <w:sz w:val="20"/>
          <w:szCs w:val="20"/>
        </w:rPr>
        <w:t>: CRM | Encompass | Forth | Logixx | Generative AI |Microsoft Excel | Google Apps Script | Gmail API | Calendar API</w:t>
      </w:r>
    </w:p>
    <w:p>
      <w:pPr>
        <w:pStyle w:val="Normal1"/>
        <w:spacing w:lineRule="auto" w:line="276" w:before="0" w:after="0"/>
        <w:rPr>
          <w:sz w:val="20"/>
          <w:szCs w:val="20"/>
        </w:rPr>
      </w:pPr>
      <w:r>
        <w:rPr>
          <w:sz w:val="20"/>
          <w:szCs w:val="20"/>
        </w:rPr>
        <w:t xml:space="preserve">| Workflow Automation </w:t>
      </w:r>
    </w:p>
    <w:p>
      <w:pPr>
        <w:pStyle w:val="Normal1"/>
        <w:spacing w:lineRule="auto" w:line="276" w:before="0" w:after="0"/>
        <w:rPr>
          <w:rFonts w:ascii="Calibri" w:hAnsi="Calibri" w:eastAsia="Calibri" w:cs="Calibri"/>
          <w:b/>
          <w:i/>
          <w:i/>
          <w:caps w:val="false"/>
          <w:smallCaps w:val="false"/>
          <w:strike w:val="false"/>
          <w:dstrike w:val="false"/>
          <w:color w:val="002060"/>
          <w:position w:val="0"/>
          <w:sz w:val="20"/>
          <w:sz w:val="20"/>
          <w:szCs w:val="20"/>
          <w:u w:val="none"/>
          <w:shd w:fill="auto" w:val="clear"/>
          <w:vertAlign w:val="baseline"/>
        </w:rPr>
      </w:pPr>
      <w:r>
        <w:rPr>
          <w:b/>
          <w:sz w:val="20"/>
          <w:szCs w:val="20"/>
        </w:rPr>
        <w:t>Soft Skills</w:t>
      </w:r>
      <w:r>
        <w:rPr>
          <w:sz w:val="20"/>
          <w:szCs w:val="20"/>
        </w:rPr>
        <w:t xml:space="preserve">: Organizational Skills | Leadership &amp; Collaborative Teamwork | Excellent Communication &amp; Interpersonal Skills | Customer Service | Critical Thinking &amp; Problem-Solving </w:t>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shd w:val="clear" w:fill="0D0D0D"/>
        <w:spacing w:lineRule="auto" w:line="240" w:before="0" w:after="60"/>
        <w:jc w:val="center"/>
        <w:rPr>
          <w:sz w:val="20"/>
          <w:szCs w:val="20"/>
        </w:rPr>
      </w:pPr>
      <w:bookmarkStart w:id="0" w:name="_gjdgxs"/>
      <w:bookmarkEnd w:id="0"/>
      <w:r>
        <w:rPr>
          <w:rFonts w:eastAsia="Quattrocento Sans" w:cs="Quattrocento Sans" w:ascii="Quattrocento Sans" w:hAnsi="Quattrocento Sans"/>
          <w:b/>
          <w:color w:val="FFFFFF"/>
          <w:sz w:val="19"/>
          <w:szCs w:val="19"/>
        </w:rPr>
        <w:t>WORK EXPERIENCE</w:t>
      </w:r>
    </w:p>
    <w:p>
      <w:pPr>
        <w:pStyle w:val="Normal1"/>
        <w:tabs>
          <w:tab w:val="clear" w:pos="720"/>
          <w:tab w:val="right" w:pos="10512" w:leader="none"/>
        </w:tabs>
        <w:spacing w:lineRule="auto" w:line="240" w:before="0" w:after="0"/>
        <w:rPr>
          <w:b/>
          <w:sz w:val="20"/>
          <w:szCs w:val="20"/>
        </w:rPr>
      </w:pPr>
      <w:r>
        <w:rPr>
          <w:b/>
          <w:sz w:val="20"/>
          <w:szCs w:val="20"/>
        </w:rPr>
        <w:t>MORTGAGE LOAN ORIGINATOR | 1099</w:t>
      </w:r>
    </w:p>
    <w:p>
      <w:pPr>
        <w:pStyle w:val="Normal1"/>
        <w:tabs>
          <w:tab w:val="clear" w:pos="720"/>
          <w:tab w:val="right" w:pos="10512" w:leader="none"/>
        </w:tabs>
        <w:spacing w:lineRule="auto" w:line="240" w:before="0" w:after="0"/>
        <w:rPr>
          <w:sz w:val="20"/>
          <w:szCs w:val="20"/>
        </w:rPr>
      </w:pPr>
      <w:r>
        <w:rPr>
          <w:b/>
          <w:sz w:val="20"/>
          <w:szCs w:val="20"/>
        </w:rPr>
        <w:t>Lexington  • Irvine,</w:t>
      </w:r>
      <w:r>
        <w:rPr>
          <w:b/>
          <w:sz w:val="20"/>
          <w:szCs w:val="20"/>
          <w:highlight w:val="white"/>
        </w:rPr>
        <w:t xml:space="preserve"> CA</w:t>
      </w:r>
      <w:r>
        <w:rPr>
          <w:b/>
          <w:sz w:val="20"/>
          <w:szCs w:val="20"/>
        </w:rPr>
        <w:t xml:space="preserve"> </w:t>
        <w:tab/>
        <w:t>June 2022 - Current</w:t>
      </w:r>
    </w:p>
    <w:p>
      <w:pPr>
        <w:pStyle w:val="Normal1"/>
        <w:numPr>
          <w:ilvl w:val="0"/>
          <w:numId w:val="4"/>
        </w:numPr>
        <w:spacing w:lineRule="auto" w:line="240" w:before="0" w:after="0"/>
        <w:ind w:hanging="360" w:left="270"/>
        <w:rPr>
          <w:rFonts w:ascii="Calibri" w:hAnsi="Calibri" w:eastAsia="Calibri" w:cs="Calibri"/>
          <w:i/>
          <w:i/>
          <w:color w:val="002060"/>
          <w:sz w:val="20"/>
          <w:szCs w:val="20"/>
        </w:rPr>
      </w:pPr>
      <w:bookmarkStart w:id="1" w:name="_30j0zll"/>
      <w:bookmarkEnd w:id="1"/>
      <w:r>
        <w:rPr>
          <w:sz w:val="20"/>
          <w:szCs w:val="20"/>
        </w:rPr>
        <w:t>Closed complex purchases and refinances—including contingent and non-QM bank statement loans—during rapid rate hikes by resolving income, lien, and co-signer issues, and delivering bilingual (English/Spanish) support to ensure successful closings.</w:t>
      </w:r>
    </w:p>
    <w:p>
      <w:pPr>
        <w:pStyle w:val="Normal1"/>
        <w:numPr>
          <w:ilvl w:val="0"/>
          <w:numId w:val="4"/>
        </w:numPr>
        <w:spacing w:lineRule="auto" w:line="240" w:before="0" w:after="0"/>
        <w:ind w:hanging="360" w:left="270"/>
        <w:rPr>
          <w:rFonts w:ascii="Calibri" w:hAnsi="Calibri" w:eastAsia="Calibri" w:cs="Calibri"/>
          <w:i/>
          <w:i/>
          <w:color w:val="002060"/>
          <w:sz w:val="20"/>
          <w:szCs w:val="20"/>
        </w:rPr>
      </w:pPr>
      <w:r>
        <w:rPr>
          <w:sz w:val="20"/>
          <w:szCs w:val="20"/>
        </w:rPr>
        <w:t xml:space="preserve">Evaluate client creditworthiness in processing loan applications, while ensuring abidance with lending policies, procedures, and regulations.    </w:t>
      </w:r>
    </w:p>
    <w:p>
      <w:pPr>
        <w:pStyle w:val="Normal1"/>
        <w:numPr>
          <w:ilvl w:val="0"/>
          <w:numId w:val="4"/>
        </w:numPr>
        <w:spacing w:lineRule="auto" w:line="240" w:before="0" w:after="0"/>
        <w:ind w:hanging="360" w:left="270"/>
        <w:rPr>
          <w:rFonts w:ascii="Calibri" w:hAnsi="Calibri" w:eastAsia="Calibri" w:cs="Calibri"/>
          <w:i/>
          <w:i/>
          <w:color w:val="002060"/>
          <w:sz w:val="20"/>
          <w:szCs w:val="20"/>
        </w:rPr>
      </w:pPr>
      <w:r>
        <w:rPr>
          <w:sz w:val="20"/>
          <w:szCs w:val="20"/>
        </w:rPr>
        <w:t>Establish and maintain client referral channels, driving business growth by building relationships with stakeholders and managing complex documentation for timely approvals and steady revenue.</w:t>
      </w:r>
    </w:p>
    <w:p>
      <w:pPr>
        <w:pStyle w:val="Normal1"/>
        <w:spacing w:lineRule="auto" w:line="240" w:before="0" w:after="0"/>
        <w:ind w:hanging="0" w:left="270"/>
        <w:rPr>
          <w:sz w:val="20"/>
          <w:szCs w:val="20"/>
        </w:rPr>
      </w:pPr>
      <w:r>
        <w:rPr>
          <w:sz w:val="20"/>
          <w:szCs w:val="20"/>
        </w:rPr>
      </w:r>
    </w:p>
    <w:p>
      <w:pPr>
        <w:pStyle w:val="Normal1"/>
        <w:tabs>
          <w:tab w:val="clear" w:pos="720"/>
          <w:tab w:val="right" w:pos="10512" w:leader="none"/>
        </w:tabs>
        <w:spacing w:lineRule="auto" w:line="240" w:before="0" w:after="0"/>
        <w:rPr>
          <w:b/>
          <w:sz w:val="20"/>
          <w:szCs w:val="20"/>
        </w:rPr>
      </w:pPr>
      <w:r>
        <w:rPr>
          <w:b/>
          <w:sz w:val="20"/>
          <w:szCs w:val="20"/>
        </w:rPr>
        <w:t>SENIOR DEBT ADVISOR</w:t>
      </w:r>
    </w:p>
    <w:p>
      <w:pPr>
        <w:pStyle w:val="Normal1"/>
        <w:tabs>
          <w:tab w:val="clear" w:pos="720"/>
          <w:tab w:val="right" w:pos="10512" w:leader="none"/>
        </w:tabs>
        <w:spacing w:lineRule="auto" w:line="240" w:before="0" w:after="0"/>
        <w:rPr>
          <w:b/>
          <w:sz w:val="20"/>
          <w:szCs w:val="20"/>
        </w:rPr>
      </w:pPr>
      <w:r>
        <w:rPr>
          <w:b/>
          <w:sz w:val="20"/>
          <w:szCs w:val="20"/>
        </w:rPr>
        <w:t xml:space="preserve">Better Debt Solutions/ Better Tax Relief  </w:t>
      </w:r>
      <w:r>
        <w:rPr>
          <w:sz w:val="20"/>
          <w:szCs w:val="20"/>
        </w:rPr>
        <w:t xml:space="preserve"> </w:t>
      </w:r>
      <w:r>
        <w:rPr>
          <w:b/>
          <w:sz w:val="20"/>
          <w:szCs w:val="20"/>
        </w:rPr>
        <w:t>•Irvine,</w:t>
      </w:r>
      <w:r>
        <w:rPr>
          <w:b/>
          <w:sz w:val="20"/>
          <w:szCs w:val="20"/>
          <w:highlight w:val="white"/>
        </w:rPr>
        <w:t xml:space="preserve"> CA</w:t>
      </w:r>
      <w:r>
        <w:rPr>
          <w:b/>
          <w:sz w:val="20"/>
          <w:szCs w:val="20"/>
        </w:rPr>
        <w:t xml:space="preserve"> </w:t>
        <w:tab/>
        <w:t xml:space="preserve">       January 2024 - September 2024</w:t>
      </w:r>
    </w:p>
    <w:p>
      <w:pPr>
        <w:pStyle w:val="Normal1"/>
        <w:numPr>
          <w:ilvl w:val="0"/>
          <w:numId w:val="4"/>
        </w:numPr>
        <w:spacing w:lineRule="auto" w:line="240" w:before="0" w:after="0"/>
        <w:ind w:hanging="360" w:left="270"/>
        <w:rPr>
          <w:rFonts w:ascii="Calibri" w:hAnsi="Calibri" w:eastAsia="Calibri" w:cs="Calibri"/>
          <w:i/>
          <w:i/>
          <w:color w:val="002060"/>
          <w:sz w:val="20"/>
          <w:szCs w:val="20"/>
        </w:rPr>
      </w:pPr>
      <w:r>
        <w:rPr>
          <w:sz w:val="20"/>
          <w:szCs w:val="20"/>
        </w:rPr>
        <w:t xml:space="preserve">Enrolled </w:t>
      </w:r>
      <w:r>
        <w:rPr>
          <w:b/>
          <w:sz w:val="20"/>
          <w:szCs w:val="20"/>
        </w:rPr>
        <w:t>$4M+ in client debt</w:t>
      </w:r>
      <w:r>
        <w:rPr>
          <w:sz w:val="20"/>
          <w:szCs w:val="20"/>
        </w:rPr>
        <w:t xml:space="preserve"> into resolution programs by collecting and processing supporting documentation in compliance with policies, procedures, and FDIC regulations.</w:t>
      </w:r>
    </w:p>
    <w:p>
      <w:pPr>
        <w:pStyle w:val="Normal1"/>
        <w:numPr>
          <w:ilvl w:val="0"/>
          <w:numId w:val="4"/>
        </w:numPr>
        <w:spacing w:lineRule="auto" w:line="240" w:before="0" w:after="0"/>
        <w:ind w:hanging="360" w:left="270"/>
        <w:rPr>
          <w:rFonts w:ascii="Calibri" w:hAnsi="Calibri" w:eastAsia="Calibri" w:cs="Calibri"/>
          <w:i/>
          <w:i/>
          <w:color w:val="002060"/>
          <w:sz w:val="20"/>
          <w:szCs w:val="20"/>
        </w:rPr>
      </w:pPr>
      <w:r>
        <w:rPr>
          <w:sz w:val="20"/>
          <w:szCs w:val="20"/>
        </w:rPr>
        <w:t>Evaluated client credit reports and financial data to confirm eligibility, program fit, and compliance with legal standards.</w:t>
      </w:r>
    </w:p>
    <w:p>
      <w:pPr>
        <w:pStyle w:val="Normal1"/>
        <w:numPr>
          <w:ilvl w:val="0"/>
          <w:numId w:val="4"/>
        </w:numPr>
        <w:spacing w:lineRule="auto" w:line="240" w:before="0" w:after="0"/>
        <w:ind w:hanging="360" w:left="270"/>
        <w:rPr>
          <w:rFonts w:ascii="Calibri" w:hAnsi="Calibri" w:eastAsia="Calibri" w:cs="Calibri"/>
          <w:i/>
          <w:i/>
          <w:color w:val="002060"/>
          <w:sz w:val="20"/>
          <w:szCs w:val="20"/>
        </w:rPr>
      </w:pPr>
      <w:r>
        <w:rPr>
          <w:sz w:val="20"/>
          <w:szCs w:val="20"/>
        </w:rPr>
        <w:t xml:space="preserve">Used </w:t>
      </w:r>
      <w:r>
        <w:rPr>
          <w:b/>
          <w:sz w:val="20"/>
          <w:szCs w:val="20"/>
        </w:rPr>
        <w:t>Forth</w:t>
      </w:r>
      <w:r>
        <w:rPr>
          <w:sz w:val="20"/>
          <w:szCs w:val="20"/>
        </w:rPr>
        <w:t xml:space="preserve"> and </w:t>
      </w:r>
      <w:r>
        <w:rPr>
          <w:b/>
          <w:sz w:val="20"/>
          <w:szCs w:val="20"/>
        </w:rPr>
        <w:t>Logix</w:t>
      </w:r>
      <w:r>
        <w:rPr>
          <w:sz w:val="20"/>
          <w:szCs w:val="20"/>
        </w:rPr>
        <w:t xml:space="preserve"> CRM systems to track case progress, maintain accurate records, and ensure timely case handoffs.</w:t>
      </w:r>
    </w:p>
    <w:p>
      <w:pPr>
        <w:pStyle w:val="Normal1"/>
        <w:numPr>
          <w:ilvl w:val="0"/>
          <w:numId w:val="4"/>
        </w:numPr>
        <w:spacing w:lineRule="auto" w:line="240" w:before="0" w:after="0"/>
        <w:ind w:hanging="360" w:left="270"/>
        <w:rPr>
          <w:rFonts w:ascii="Calibri" w:hAnsi="Calibri" w:eastAsia="Calibri" w:cs="Calibri"/>
          <w:i/>
          <w:i/>
          <w:color w:val="002060"/>
          <w:sz w:val="20"/>
          <w:szCs w:val="20"/>
        </w:rPr>
      </w:pPr>
      <w:r>
        <w:rPr>
          <w:sz w:val="20"/>
          <w:szCs w:val="20"/>
        </w:rPr>
        <w:t>Educated clients on credit utilization, DTI ratios, and payoff strategy models to support successful program completion.</w:t>
      </w:r>
    </w:p>
    <w:p>
      <w:pPr>
        <w:pStyle w:val="Normal1"/>
        <w:tabs>
          <w:tab w:val="clear" w:pos="720"/>
          <w:tab w:val="right" w:pos="10512" w:leader="none"/>
        </w:tabs>
        <w:spacing w:lineRule="auto" w:line="240" w:before="0" w:after="0"/>
        <w:rPr>
          <w:b/>
          <w:sz w:val="20"/>
          <w:szCs w:val="20"/>
        </w:rPr>
      </w:pPr>
      <w:r>
        <w:rPr>
          <w:b/>
          <w:sz w:val="20"/>
          <w:szCs w:val="20"/>
        </w:rPr>
      </w:r>
    </w:p>
    <w:p>
      <w:pPr>
        <w:pStyle w:val="Normal1"/>
        <w:tabs>
          <w:tab w:val="clear" w:pos="720"/>
          <w:tab w:val="right" w:pos="10512" w:leader="none"/>
        </w:tabs>
        <w:spacing w:lineRule="auto" w:line="240" w:before="0" w:after="0"/>
        <w:rPr>
          <w:b/>
          <w:sz w:val="20"/>
          <w:szCs w:val="20"/>
        </w:rPr>
      </w:pPr>
      <w:r>
        <w:rPr>
          <w:b/>
          <w:sz w:val="20"/>
          <w:szCs w:val="20"/>
        </w:rPr>
        <w:t xml:space="preserve">LEGAL INTAKE SPECIALIST | </w:t>
      </w:r>
    </w:p>
    <w:p>
      <w:pPr>
        <w:pStyle w:val="Normal1"/>
        <w:tabs>
          <w:tab w:val="clear" w:pos="720"/>
          <w:tab w:val="right" w:pos="10512" w:leader="none"/>
        </w:tabs>
        <w:spacing w:lineRule="auto" w:line="240" w:before="0" w:after="0"/>
        <w:rPr>
          <w:sz w:val="20"/>
          <w:szCs w:val="20"/>
        </w:rPr>
      </w:pPr>
      <w:r>
        <w:rPr>
          <w:b/>
          <w:sz w:val="20"/>
          <w:szCs w:val="20"/>
        </w:rPr>
        <w:t>Mass Tort Strategies  •Irvine,</w:t>
      </w:r>
      <w:r>
        <w:rPr>
          <w:b/>
          <w:sz w:val="20"/>
          <w:szCs w:val="20"/>
          <w:highlight w:val="white"/>
        </w:rPr>
        <w:t xml:space="preserve"> CA</w:t>
      </w:r>
      <w:r>
        <w:rPr>
          <w:b/>
          <w:sz w:val="20"/>
          <w:szCs w:val="20"/>
        </w:rPr>
        <w:t xml:space="preserve"> </w:t>
        <w:tab/>
        <w:t>August 2023- January 2024</w:t>
      </w:r>
    </w:p>
    <w:p>
      <w:pPr>
        <w:pStyle w:val="Normal1"/>
        <w:numPr>
          <w:ilvl w:val="0"/>
          <w:numId w:val="4"/>
        </w:numPr>
        <w:spacing w:lineRule="auto" w:line="240" w:before="0" w:after="0"/>
        <w:ind w:hanging="360" w:left="270"/>
        <w:rPr>
          <w:rFonts w:ascii="Calibri" w:hAnsi="Calibri" w:eastAsia="Calibri" w:cs="Calibri"/>
          <w:i/>
          <w:i/>
          <w:color w:val="002060"/>
          <w:sz w:val="20"/>
          <w:szCs w:val="20"/>
        </w:rPr>
      </w:pPr>
      <w:bookmarkStart w:id="2" w:name="_30j0zll_Copy_1"/>
      <w:bookmarkEnd w:id="2"/>
      <w:r>
        <w:rPr>
          <w:sz w:val="20"/>
          <w:szCs w:val="20"/>
        </w:rPr>
        <w:t>Spearheaded targeted marketing campaigns within a dynamic legal services environment, specializing in mass torts, resulting in a significant increase in plaintiff acquisition for client law firms.</w:t>
      </w:r>
    </w:p>
    <w:p>
      <w:pPr>
        <w:pStyle w:val="Normal1"/>
        <w:numPr>
          <w:ilvl w:val="0"/>
          <w:numId w:val="4"/>
        </w:numPr>
        <w:spacing w:lineRule="auto" w:line="240" w:before="0" w:after="0"/>
        <w:ind w:hanging="360" w:left="270"/>
        <w:rPr>
          <w:rFonts w:ascii="Calibri" w:hAnsi="Calibri" w:eastAsia="Calibri" w:cs="Calibri"/>
          <w:b w:val="false"/>
          <w:i/>
          <w:i/>
          <w:color w:val="002060"/>
          <w:sz w:val="20"/>
          <w:szCs w:val="20"/>
        </w:rPr>
      </w:pPr>
      <w:r>
        <w:rPr>
          <w:sz w:val="20"/>
          <w:szCs w:val="20"/>
        </w:rPr>
        <w:t xml:space="preserve">Implemented data-driven strategies to identify and engage potential plaintiffs, leveraging market research and analytics to optimize lead generation processes, leading to a </w:t>
      </w:r>
      <w:r>
        <w:rPr>
          <w:b/>
          <w:sz w:val="20"/>
          <w:szCs w:val="20"/>
        </w:rPr>
        <w:t>notable</w:t>
      </w:r>
      <w:r>
        <w:rPr>
          <w:sz w:val="20"/>
          <w:szCs w:val="20"/>
        </w:rPr>
        <w:t xml:space="preserve"> uptick in case acquisition.</w:t>
      </w:r>
    </w:p>
    <w:p>
      <w:pPr>
        <w:pStyle w:val="Normal1"/>
        <w:numPr>
          <w:ilvl w:val="0"/>
          <w:numId w:val="4"/>
        </w:numPr>
        <w:spacing w:lineRule="auto" w:line="240" w:before="0" w:after="0"/>
        <w:ind w:hanging="360" w:left="270"/>
        <w:rPr>
          <w:sz w:val="20"/>
          <w:szCs w:val="20"/>
          <w:u w:val="none"/>
        </w:rPr>
      </w:pPr>
      <w:r>
        <w:rPr>
          <w:sz w:val="20"/>
          <w:szCs w:val="20"/>
        </w:rPr>
        <w:t>Cultivated meaningful connections with potential plaintiffs through empathetic and professional communication via telephone, consistently increasing in performance metrics and fostering trust in the mass tort legal services offered.</w:t>
      </w:r>
    </w:p>
    <w:p>
      <w:pPr>
        <w:pStyle w:val="Normal1"/>
        <w:spacing w:lineRule="auto" w:line="240" w:before="0" w:after="0"/>
        <w:ind w:hanging="0" w:left="0"/>
        <w:rPr>
          <w:b/>
          <w:sz w:val="20"/>
          <w:szCs w:val="20"/>
        </w:rPr>
      </w:pPr>
      <w:r>
        <w:rPr>
          <w:b/>
          <w:sz w:val="20"/>
          <w:szCs w:val="20"/>
        </w:rPr>
      </w:r>
    </w:p>
    <w:p>
      <w:pPr>
        <w:pStyle w:val="Normal1"/>
        <w:tabs>
          <w:tab w:val="clear" w:pos="720"/>
          <w:tab w:val="right" w:pos="10512" w:leader="none"/>
        </w:tabs>
        <w:spacing w:lineRule="auto" w:line="240" w:before="0" w:after="0"/>
        <w:rPr>
          <w:b/>
          <w:sz w:val="20"/>
          <w:szCs w:val="20"/>
        </w:rPr>
      </w:pPr>
      <w:r>
        <w:rPr>
          <w:b/>
          <w:sz w:val="20"/>
          <w:szCs w:val="20"/>
        </w:rPr>
        <w:t xml:space="preserve">MORTGAGE LOAN ORIGINATOR | </w:t>
      </w:r>
    </w:p>
    <w:p>
      <w:pPr>
        <w:pStyle w:val="Normal1"/>
        <w:tabs>
          <w:tab w:val="clear" w:pos="720"/>
          <w:tab w:val="right" w:pos="10512" w:leader="none"/>
        </w:tabs>
        <w:spacing w:lineRule="auto" w:line="240" w:before="0" w:after="0"/>
        <w:rPr>
          <w:b/>
          <w:sz w:val="20"/>
          <w:szCs w:val="20"/>
        </w:rPr>
      </w:pPr>
      <w:r>
        <w:rPr>
          <w:b/>
          <w:sz w:val="20"/>
          <w:szCs w:val="20"/>
        </w:rPr>
        <w:t>Mega Capital Funding (Formerly Constant Investment Inc.) •Irvine,</w:t>
      </w:r>
      <w:r>
        <w:rPr>
          <w:b/>
          <w:sz w:val="20"/>
          <w:szCs w:val="20"/>
          <w:highlight w:val="white"/>
        </w:rPr>
        <w:t xml:space="preserve"> CA</w:t>
      </w:r>
      <w:r>
        <w:rPr>
          <w:b/>
          <w:sz w:val="20"/>
          <w:szCs w:val="20"/>
        </w:rPr>
        <w:t xml:space="preserve"> </w:t>
        <w:tab/>
        <w:t>July 2021 - June 2022</w:t>
      </w:r>
    </w:p>
    <w:p>
      <w:pPr>
        <w:pStyle w:val="Normal1"/>
        <w:keepNext w:val="false"/>
        <w:keepLines w:val="false"/>
        <w:pageBreakBefore w:val="false"/>
        <w:widowControl/>
        <w:numPr>
          <w:ilvl w:val="0"/>
          <w:numId w:val="4"/>
        </w:numPr>
        <w:shd w:val="clear" w:fill="auto"/>
        <w:spacing w:lineRule="auto" w:line="240" w:before="0" w:after="0"/>
        <w:ind w:hanging="360" w:left="360" w:right="0"/>
        <w:rPr>
          <w:rFonts w:ascii="Calibri" w:hAnsi="Calibri" w:eastAsia="Calibri" w:cs="Calibri"/>
          <w:b/>
          <w:i/>
          <w:i/>
          <w:caps w:val="false"/>
          <w:smallCaps w:val="false"/>
          <w:strike w:val="false"/>
          <w:dstrike w:val="false"/>
          <w:color w:val="002060"/>
          <w:position w:val="0"/>
          <w:sz w:val="20"/>
          <w:sz w:val="20"/>
          <w:szCs w:val="20"/>
          <w:u w:val="none"/>
          <w:shd w:fill="auto" w:val="clear"/>
          <w:vertAlign w:val="baseline"/>
        </w:rPr>
      </w:pPr>
      <w:bookmarkStart w:id="3" w:name="_30j0zll_Copy_2"/>
      <w:bookmarkEnd w:id="3"/>
      <w:r>
        <w:rPr>
          <w:sz w:val="20"/>
          <w:szCs w:val="20"/>
        </w:rPr>
        <w:t xml:space="preserve">Recruited by former Constant Investment Inc. manager to join their new venture at Mega Capital Funding due to proven expertise in workflow automation and data-driven lead generation.  </w:t>
      </w:r>
    </w:p>
    <w:p>
      <w:pPr>
        <w:pStyle w:val="Normal1"/>
        <w:keepNext w:val="false"/>
        <w:keepLines w:val="false"/>
        <w:pageBreakBefore w:val="false"/>
        <w:widowControl/>
        <w:numPr>
          <w:ilvl w:val="0"/>
          <w:numId w:val="4"/>
        </w:numPr>
        <w:shd w:val="clear" w:fill="auto"/>
        <w:spacing w:lineRule="auto" w:line="240" w:before="0" w:after="0"/>
        <w:ind w:hanging="360" w:left="360" w:right="0"/>
        <w:rPr>
          <w:rFonts w:ascii="Calibri" w:hAnsi="Calibri" w:eastAsia="Calibri" w:cs="Calibri"/>
          <w:b/>
          <w:i/>
          <w:i/>
          <w:caps w:val="false"/>
          <w:smallCaps w:val="false"/>
          <w:strike w:val="false"/>
          <w:dstrike w:val="false"/>
          <w:color w:val="002060"/>
          <w:position w:val="0"/>
          <w:sz w:val="20"/>
          <w:sz w:val="20"/>
          <w:szCs w:val="20"/>
          <w:u w:val="none"/>
          <w:shd w:fill="auto" w:val="clear"/>
          <w:vertAlign w:val="baseline"/>
        </w:rPr>
      </w:pPr>
      <w:r>
        <w:rPr>
          <w:sz w:val="20"/>
          <w:szCs w:val="20"/>
        </w:rPr>
        <w:t xml:space="preserve">Designed and implemented SMS automation workflows, reducing client response time. </w:t>
      </w:r>
    </w:p>
    <w:p>
      <w:pPr>
        <w:pStyle w:val="Normal1"/>
        <w:keepNext w:val="false"/>
        <w:keepLines w:val="false"/>
        <w:pageBreakBefore w:val="false"/>
        <w:widowControl/>
        <w:numPr>
          <w:ilvl w:val="0"/>
          <w:numId w:val="4"/>
        </w:numPr>
        <w:shd w:val="clear" w:fill="auto"/>
        <w:spacing w:lineRule="auto" w:line="240" w:before="0" w:after="0"/>
        <w:ind w:hanging="360" w:left="360" w:right="0"/>
        <w:rPr>
          <w:rFonts w:ascii="Calibri" w:hAnsi="Calibri" w:eastAsia="Calibri" w:cs="Calibri"/>
          <w:b/>
          <w:i/>
          <w:i/>
          <w:caps w:val="false"/>
          <w:smallCaps w:val="false"/>
          <w:strike w:val="false"/>
          <w:dstrike w:val="false"/>
          <w:color w:val="00206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Establish client referral channels while increasing business activities by forming linkages with stakeholders to ensure steady revenue.</w:t>
      </w:r>
      <w:r>
        <w:rPr>
          <w:b/>
          <w:sz w:val="20"/>
          <w:szCs w:val="20"/>
        </w:rPr>
        <w:tab/>
      </w:r>
    </w:p>
    <w:p>
      <w:pPr>
        <w:pStyle w:val="Normal1"/>
        <w:keepNext w:val="false"/>
        <w:keepLines w:val="false"/>
        <w:pageBreakBefore w:val="false"/>
        <w:widowControl/>
        <w:numPr>
          <w:ilvl w:val="0"/>
          <w:numId w:val="4"/>
        </w:numPr>
        <w:shd w:val="clear" w:fill="auto"/>
        <w:spacing w:lineRule="auto" w:line="240" w:before="0" w:after="0"/>
        <w:ind w:hanging="360" w:left="360" w:right="0"/>
        <w:rPr>
          <w:rFonts w:ascii="Calibri" w:hAnsi="Calibri" w:eastAsia="Calibri" w:cs="Calibri"/>
          <w:b/>
          <w:i/>
          <w:i/>
          <w:caps w:val="false"/>
          <w:smallCaps w:val="false"/>
          <w:strike w:val="false"/>
          <w:dstrike w:val="false"/>
          <w:color w:val="002060"/>
          <w:position w:val="0"/>
          <w:sz w:val="20"/>
          <w:sz w:val="20"/>
          <w:szCs w:val="20"/>
          <w:u w:val="none"/>
          <w:shd w:fill="auto" w:val="clear"/>
          <w:vertAlign w:val="baseline"/>
        </w:rPr>
      </w:pPr>
      <w:r>
        <w:rPr>
          <w:sz w:val="20"/>
          <w:szCs w:val="20"/>
        </w:rPr>
        <w:t xml:space="preserve"> </w:t>
      </w:r>
      <w:r>
        <w:rPr>
          <w:sz w:val="20"/>
          <w:szCs w:val="20"/>
        </w:rPr>
        <w:t>Leveraged data scraping tools to identify high-potential clients, resulting in **$2M+** in closed loans within the first two       months.</w:t>
      </w:r>
    </w:p>
    <w:p>
      <w:pPr>
        <w:pStyle w:val="Normal1"/>
        <w:keepNext w:val="false"/>
        <w:keepLines w:val="false"/>
        <w:pageBreakBefore w:val="false"/>
        <w:widowControl/>
        <w:numPr>
          <w:ilvl w:val="0"/>
          <w:numId w:val="4"/>
        </w:numPr>
        <w:shd w:val="clear" w:fill="auto"/>
        <w:spacing w:lineRule="auto" w:line="240" w:before="0" w:after="0"/>
        <w:ind w:hanging="360" w:left="360" w:right="0"/>
        <w:rPr>
          <w:rFonts w:ascii="Calibri" w:hAnsi="Calibri" w:eastAsia="Calibri" w:cs="Calibri"/>
          <w:b w:val="false"/>
          <w:i/>
          <w:i/>
          <w:caps w:val="false"/>
          <w:smallCaps w:val="false"/>
          <w:strike w:val="false"/>
          <w:dstrike w:val="false"/>
          <w:color w:val="002060"/>
          <w:position w:val="0"/>
          <w:sz w:val="20"/>
          <w:sz w:val="20"/>
          <w:szCs w:val="20"/>
          <w:u w:val="none"/>
          <w:shd w:fill="auto" w:val="clear"/>
          <w:vertAlign w:val="baseline"/>
        </w:rPr>
      </w:pPr>
      <w:bookmarkStart w:id="4" w:name="_1fob9te"/>
      <w:bookmarkEnd w:id="4"/>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Exhibited superior customer relation skills in assisting borrowers in identifying proper loan programs suited to their qualifications.</w:t>
      </w:r>
      <w:r>
        <w:rPr>
          <w:i/>
          <w:color w:val="002060"/>
          <w:sz w:val="20"/>
          <w:szCs w:val="20"/>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Oversaw loan application process by monitoring collection, verification, and preparation of mortgage loan documentation.</w:t>
      </w:r>
    </w:p>
    <w:p>
      <w:pPr>
        <w:pStyle w:val="Normal1"/>
        <w:spacing w:lineRule="auto" w:line="240" w:before="0" w:after="0"/>
        <w:rPr>
          <w:sz w:val="20"/>
          <w:szCs w:val="20"/>
        </w:rPr>
      </w:pPr>
      <w:r>
        <w:rPr>
          <w:sz w:val="20"/>
          <w:szCs w:val="20"/>
        </w:rPr>
      </w:r>
    </w:p>
    <w:p>
      <w:pPr>
        <w:pStyle w:val="Normal1"/>
        <w:tabs>
          <w:tab w:val="clear" w:pos="720"/>
          <w:tab w:val="right" w:pos="10512" w:leader="none"/>
        </w:tabs>
        <w:spacing w:lineRule="auto" w:line="240" w:before="0" w:after="0"/>
        <w:rPr>
          <w:b/>
          <w:sz w:val="20"/>
          <w:szCs w:val="20"/>
        </w:rPr>
      </w:pPr>
      <w:r>
        <w:rPr>
          <w:b/>
          <w:sz w:val="20"/>
          <w:szCs w:val="20"/>
        </w:rPr>
        <w:t xml:space="preserve">LOAN DOCUMENTATION &amp; DATA PROCESSING COORDINATOR | </w:t>
      </w:r>
    </w:p>
    <w:p>
      <w:pPr>
        <w:pStyle w:val="Normal1"/>
        <w:tabs>
          <w:tab w:val="clear" w:pos="720"/>
          <w:tab w:val="right" w:pos="10512" w:leader="none"/>
        </w:tabs>
        <w:spacing w:lineRule="auto" w:line="240" w:before="0" w:after="0"/>
        <w:rPr>
          <w:b/>
          <w:sz w:val="20"/>
          <w:szCs w:val="20"/>
        </w:rPr>
      </w:pPr>
      <w:r>
        <w:rPr>
          <w:b/>
          <w:sz w:val="20"/>
          <w:szCs w:val="20"/>
        </w:rPr>
        <w:t xml:space="preserve">Deutsche Bank • </w:t>
      </w:r>
      <w:r>
        <w:rPr>
          <w:b/>
          <w:sz w:val="20"/>
          <w:szCs w:val="20"/>
          <w:highlight w:val="white"/>
        </w:rPr>
        <w:t>Santa Ana</w:t>
      </w:r>
      <w:r>
        <w:rPr>
          <w:b/>
          <w:sz w:val="20"/>
          <w:szCs w:val="20"/>
        </w:rPr>
        <w:t>,CA</w:t>
      </w:r>
      <w:r>
        <w:rPr>
          <w:sz w:val="20"/>
          <w:szCs w:val="20"/>
        </w:rPr>
        <w:tab/>
      </w:r>
      <w:r>
        <w:rPr>
          <w:b/>
          <w:sz w:val="20"/>
          <w:szCs w:val="20"/>
        </w:rPr>
        <w:t>Nov 2019 - Sept 2020</w:t>
      </w:r>
    </w:p>
    <w:p>
      <w:pPr>
        <w:pStyle w:val="Normal1"/>
        <w:keepLines/>
        <w:numPr>
          <w:ilvl w:val="0"/>
          <w:numId w:val="4"/>
        </w:numPr>
        <w:spacing w:lineRule="auto" w:line="240" w:before="0" w:after="0"/>
        <w:ind w:hanging="360" w:left="270"/>
        <w:rPr>
          <w:rFonts w:ascii="Calibri" w:hAnsi="Calibri" w:eastAsia="Calibri" w:cs="Calibri"/>
          <w:b w:val="false"/>
          <w:sz w:val="20"/>
          <w:szCs w:val="20"/>
        </w:rPr>
      </w:pPr>
      <w:r>
        <w:rPr>
          <w:sz w:val="20"/>
          <w:szCs w:val="20"/>
        </w:rPr>
        <w:t>Prepared and processed commercial and residential loan documentation, ensuring accurate, compliant records across multiple internal systems.</w:t>
      </w:r>
    </w:p>
    <w:p>
      <w:pPr>
        <w:pStyle w:val="Normal1"/>
        <w:keepLines/>
        <w:numPr>
          <w:ilvl w:val="0"/>
          <w:numId w:val="4"/>
        </w:numPr>
        <w:spacing w:lineRule="auto" w:line="240" w:before="0" w:after="0"/>
        <w:ind w:hanging="360" w:left="270"/>
        <w:rPr>
          <w:rFonts w:ascii="Calibri" w:hAnsi="Calibri" w:eastAsia="Calibri" w:cs="Calibri"/>
          <w:b w:val="false"/>
          <w:sz w:val="20"/>
          <w:szCs w:val="20"/>
        </w:rPr>
      </w:pPr>
      <w:r>
        <w:rPr>
          <w:sz w:val="20"/>
          <w:szCs w:val="20"/>
        </w:rPr>
        <w:t>Verified presence of required forms, signatures, and supporting materials prior to secure distribution.</w:t>
      </w:r>
    </w:p>
    <w:p>
      <w:pPr>
        <w:pStyle w:val="Normal1"/>
        <w:keepLines/>
        <w:numPr>
          <w:ilvl w:val="0"/>
          <w:numId w:val="4"/>
        </w:numPr>
        <w:spacing w:lineRule="auto" w:line="240" w:before="0" w:after="0"/>
        <w:ind w:hanging="360" w:left="270"/>
        <w:rPr>
          <w:rFonts w:ascii="Calibri" w:hAnsi="Calibri" w:eastAsia="Calibri" w:cs="Calibri"/>
          <w:b w:val="false"/>
          <w:sz w:val="20"/>
          <w:szCs w:val="20"/>
        </w:rPr>
      </w:pPr>
      <w:r>
        <w:rPr>
          <w:sz w:val="20"/>
          <w:szCs w:val="20"/>
        </w:rPr>
        <w:t xml:space="preserve">Coordinated routing of time-sensitive loan packages to internal departments, branch offices, and external partners, meeting strict deadlines. Processed </w:t>
      </w:r>
      <w:r>
        <w:rPr>
          <w:b/>
          <w:sz w:val="20"/>
          <w:szCs w:val="20"/>
        </w:rPr>
        <w:t>200+ loan packages weekly</w:t>
      </w:r>
      <w:r>
        <w:rPr>
          <w:sz w:val="20"/>
          <w:szCs w:val="20"/>
        </w:rPr>
        <w:t xml:space="preserve"> with a 100% on-time distribution rate.</w:t>
      </w:r>
    </w:p>
    <w:p>
      <w:pPr>
        <w:pStyle w:val="Normal1"/>
        <w:keepLines/>
        <w:numPr>
          <w:ilvl w:val="0"/>
          <w:numId w:val="4"/>
        </w:numPr>
        <w:spacing w:lineRule="auto" w:line="240" w:before="0" w:after="0"/>
        <w:ind w:hanging="360" w:left="270"/>
        <w:rPr>
          <w:rFonts w:ascii="Calibri" w:hAnsi="Calibri" w:eastAsia="Calibri" w:cs="Calibri"/>
          <w:b w:val="false"/>
          <w:sz w:val="20"/>
          <w:szCs w:val="20"/>
        </w:rPr>
      </w:pPr>
      <w:r>
        <w:rPr>
          <w:sz w:val="20"/>
          <w:szCs w:val="20"/>
        </w:rPr>
        <w:t>Maintained detailed tracking logs and documentation archives to support compliance and audit readiness.</w:t>
      </w:r>
    </w:p>
    <w:p>
      <w:pPr>
        <w:pStyle w:val="Normal1"/>
        <w:keepLines/>
        <w:numPr>
          <w:ilvl w:val="0"/>
          <w:numId w:val="4"/>
        </w:numPr>
        <w:spacing w:lineRule="auto" w:line="240" w:before="0" w:after="0"/>
        <w:ind w:hanging="360" w:left="270"/>
        <w:rPr>
          <w:rFonts w:ascii="Calibri" w:hAnsi="Calibri" w:eastAsia="Calibri" w:cs="Calibri"/>
          <w:b w:val="false"/>
          <w:sz w:val="20"/>
          <w:szCs w:val="20"/>
        </w:rPr>
      </w:pPr>
      <w:r>
        <w:rPr>
          <w:sz w:val="20"/>
          <w:szCs w:val="20"/>
        </w:rPr>
        <w:t xml:space="preserve">Contributed to operations within the U.S. processing center of a </w:t>
      </w:r>
      <w:r>
        <w:rPr>
          <w:b/>
          <w:sz w:val="20"/>
          <w:szCs w:val="20"/>
        </w:rPr>
        <w:t>leading global investment bank with €1.3 trillion in assets</w:t>
      </w:r>
      <w:r>
        <w:rPr>
          <w:sz w:val="20"/>
          <w:szCs w:val="20"/>
        </w:rPr>
        <w:t>.</w:t>
      </w:r>
    </w:p>
    <w:p>
      <w:pPr>
        <w:pStyle w:val="Normal1"/>
        <w:spacing w:lineRule="auto" w:line="240" w:before="0" w:after="0"/>
        <w:rPr>
          <w:sz w:val="20"/>
          <w:szCs w:val="20"/>
        </w:rPr>
      </w:pPr>
      <w:r>
        <w:rPr>
          <w:sz w:val="20"/>
          <w:szCs w:val="20"/>
        </w:rPr>
      </w:r>
    </w:p>
    <w:p>
      <w:pPr>
        <w:pStyle w:val="Normal1"/>
        <w:shd w:val="clear" w:fill="0D0D0D"/>
        <w:spacing w:lineRule="auto" w:line="240" w:before="0" w:after="60"/>
        <w:jc w:val="center"/>
        <w:rPr>
          <w:rFonts w:ascii="Quattrocento Sans" w:hAnsi="Quattrocento Sans" w:eastAsia="Quattrocento Sans" w:cs="Quattrocento Sans"/>
          <w:color w:val="FFFFFF"/>
          <w:sz w:val="19"/>
          <w:szCs w:val="19"/>
        </w:rPr>
      </w:pPr>
      <w:r>
        <w:rPr>
          <w:rFonts w:eastAsia="Quattrocento Sans" w:cs="Quattrocento Sans" w:ascii="Quattrocento Sans" w:hAnsi="Quattrocento Sans"/>
          <w:b/>
          <w:color w:val="FFFFFF"/>
          <w:sz w:val="19"/>
          <w:szCs w:val="19"/>
        </w:rPr>
        <w:t>WORK EXPERIENCE</w:t>
      </w:r>
      <w:r>
        <w:rPr>
          <w:rFonts w:eastAsia="Quattrocento Sans" w:cs="Quattrocento Sans" w:ascii="Quattrocento Sans" w:hAnsi="Quattrocento Sans"/>
          <w:color w:val="FFFFFF"/>
          <w:sz w:val="19"/>
          <w:szCs w:val="19"/>
        </w:rPr>
        <w:t xml:space="preserve"> </w:t>
      </w:r>
      <w:r>
        <w:rPr>
          <w:rFonts w:eastAsia="Quattrocento Sans" w:cs="Quattrocento Sans" w:ascii="Quattrocento Sans" w:hAnsi="Quattrocento Sans"/>
          <w:b/>
          <w:i/>
          <w:color w:val="FFFFFF"/>
          <w:sz w:val="19"/>
          <w:szCs w:val="19"/>
        </w:rPr>
        <w:t>continuation</w:t>
      </w:r>
    </w:p>
    <w:p>
      <w:pPr>
        <w:pStyle w:val="Normal1"/>
        <w:tabs>
          <w:tab w:val="clear" w:pos="720"/>
          <w:tab w:val="right" w:pos="10512" w:leader="none"/>
        </w:tabs>
        <w:spacing w:lineRule="auto" w:line="240" w:before="0" w:after="0"/>
        <w:rPr>
          <w:b/>
          <w:sz w:val="20"/>
          <w:szCs w:val="20"/>
        </w:rPr>
      </w:pPr>
      <w:r>
        <w:rPr>
          <w:b/>
          <w:sz w:val="20"/>
          <w:szCs w:val="20"/>
        </w:rPr>
        <w:t>MORTGAGE LOAN INTAKE SPECIALIST |</w:t>
      </w:r>
    </w:p>
    <w:p>
      <w:pPr>
        <w:pStyle w:val="Normal1"/>
        <w:tabs>
          <w:tab w:val="clear" w:pos="720"/>
          <w:tab w:val="right" w:pos="10512" w:leader="none"/>
        </w:tabs>
        <w:spacing w:lineRule="auto" w:line="240" w:before="0" w:after="0"/>
        <w:rPr>
          <w:sz w:val="20"/>
          <w:szCs w:val="20"/>
        </w:rPr>
      </w:pPr>
      <w:r>
        <w:rPr>
          <w:b/>
          <w:sz w:val="20"/>
          <w:szCs w:val="20"/>
        </w:rPr>
        <w:t xml:space="preserve">Mortgage Services for Secure One Capital • </w:t>
      </w:r>
      <w:r>
        <w:rPr>
          <w:b/>
          <w:sz w:val="20"/>
          <w:szCs w:val="20"/>
          <w:highlight w:val="white"/>
        </w:rPr>
        <w:t>Costa Mesa, CA</w:t>
      </w:r>
      <w:r>
        <w:rPr>
          <w:sz w:val="20"/>
          <w:szCs w:val="20"/>
        </w:rPr>
        <w:tab/>
        <w:t xml:space="preserve"> </w:t>
      </w:r>
      <w:r>
        <w:rPr>
          <w:b/>
          <w:sz w:val="20"/>
          <w:szCs w:val="20"/>
        </w:rPr>
        <w:t>Nov 2018- Apr 2019</w:t>
      </w:r>
    </w:p>
    <w:p>
      <w:pPr>
        <w:pStyle w:val="Normal1"/>
        <w:numPr>
          <w:ilvl w:val="0"/>
          <w:numId w:val="4"/>
        </w:numPr>
        <w:spacing w:lineRule="auto" w:line="240" w:before="0" w:after="0"/>
        <w:ind w:hanging="360" w:left="270"/>
        <w:rPr>
          <w:rFonts w:ascii="Calibri" w:hAnsi="Calibri" w:eastAsia="Calibri" w:cs="Calibri"/>
          <w:b w:val="false"/>
          <w:sz w:val="20"/>
          <w:szCs w:val="20"/>
        </w:rPr>
      </w:pPr>
      <w:bookmarkStart w:id="5" w:name="_2et92p0"/>
      <w:bookmarkEnd w:id="5"/>
      <w:r>
        <w:rPr>
          <w:sz w:val="20"/>
          <w:szCs w:val="20"/>
        </w:rPr>
        <w:t xml:space="preserve">Performed </w:t>
      </w:r>
      <w:r>
        <w:rPr>
          <w:b/>
          <w:sz w:val="20"/>
          <w:szCs w:val="20"/>
        </w:rPr>
        <w:t>150+ cold and warm calls weekly</w:t>
      </w:r>
      <w:r>
        <w:rPr>
          <w:sz w:val="20"/>
          <w:szCs w:val="20"/>
        </w:rPr>
        <w:t xml:space="preserve">, yielding a minimum of </w:t>
      </w:r>
      <w:r>
        <w:rPr>
          <w:b/>
          <w:sz w:val="20"/>
          <w:szCs w:val="20"/>
        </w:rPr>
        <w:t>20+ newly engaged clients</w:t>
      </w:r>
      <w:r>
        <w:rPr>
          <w:sz w:val="20"/>
          <w:szCs w:val="20"/>
        </w:rPr>
        <w:t xml:space="preserve"> for mortgage refinancing programs. Coordinated with licensed loan officers to transition qualified prospects and expedite loan processing steps.</w:t>
      </w:r>
    </w:p>
    <w:p>
      <w:pPr>
        <w:pStyle w:val="Normal1"/>
        <w:numPr>
          <w:ilvl w:val="0"/>
          <w:numId w:val="4"/>
        </w:numPr>
        <w:spacing w:lineRule="auto" w:line="240" w:before="0" w:after="0"/>
        <w:ind w:hanging="360" w:left="270"/>
        <w:rPr>
          <w:rFonts w:ascii="Calibri" w:hAnsi="Calibri" w:eastAsia="Calibri" w:cs="Calibri"/>
          <w:b w:val="false"/>
          <w:sz w:val="20"/>
          <w:szCs w:val="20"/>
        </w:rPr>
      </w:pPr>
      <w:bookmarkStart w:id="6" w:name="_2et92p0_Copy_1"/>
      <w:bookmarkEnd w:id="6"/>
      <w:r>
        <w:rPr>
          <w:sz w:val="20"/>
          <w:szCs w:val="20"/>
        </w:rPr>
        <w:t>Gathered preliminary financial information to determine program eligibility and prepared clients for the documentation process.</w:t>
      </w:r>
    </w:p>
    <w:p>
      <w:pPr>
        <w:pStyle w:val="Normal1"/>
        <w:numPr>
          <w:ilvl w:val="0"/>
          <w:numId w:val="4"/>
        </w:numPr>
        <w:spacing w:lineRule="auto" w:line="240" w:before="0" w:after="0"/>
        <w:ind w:hanging="360" w:left="270"/>
        <w:rPr>
          <w:rFonts w:ascii="Calibri" w:hAnsi="Calibri" w:eastAsia="Calibri" w:cs="Calibri"/>
          <w:b w:val="false"/>
          <w:sz w:val="20"/>
          <w:szCs w:val="20"/>
        </w:rPr>
      </w:pPr>
      <w:bookmarkStart w:id="7" w:name="_2et92p0_Copy_2"/>
      <w:bookmarkEnd w:id="7"/>
      <w:r>
        <w:rPr>
          <w:sz w:val="20"/>
          <w:szCs w:val="20"/>
        </w:rPr>
        <w:t>Maintained detailed prospect records in the company CRM, ensuring accurate data entry and timely follow-up.</w:t>
      </w:r>
    </w:p>
    <w:p>
      <w:pPr>
        <w:pStyle w:val="Normal1"/>
        <w:spacing w:lineRule="auto" w:line="240" w:before="0" w:after="0"/>
        <w:rPr>
          <w:sz w:val="20"/>
          <w:szCs w:val="20"/>
        </w:rPr>
      </w:pPr>
      <w:r>
        <w:rPr>
          <w:sz w:val="20"/>
          <w:szCs w:val="20"/>
        </w:rPr>
      </w:r>
    </w:p>
    <w:p>
      <w:pPr>
        <w:pStyle w:val="Normal1"/>
        <w:tabs>
          <w:tab w:val="clear" w:pos="720"/>
          <w:tab w:val="right" w:pos="10512" w:leader="none"/>
        </w:tabs>
        <w:spacing w:lineRule="auto" w:line="240" w:before="0" w:after="0"/>
        <w:rPr>
          <w:b/>
          <w:sz w:val="20"/>
          <w:szCs w:val="20"/>
        </w:rPr>
      </w:pPr>
      <w:r>
        <w:rPr>
          <w:b/>
          <w:sz w:val="20"/>
          <w:szCs w:val="20"/>
        </w:rPr>
        <w:t>MORTGAGE LOAN INTAKE SPECIALIST |</w:t>
      </w:r>
    </w:p>
    <w:p>
      <w:pPr>
        <w:pStyle w:val="Normal1"/>
        <w:tabs>
          <w:tab w:val="clear" w:pos="720"/>
          <w:tab w:val="right" w:pos="10512" w:leader="none"/>
        </w:tabs>
        <w:spacing w:lineRule="auto" w:line="240" w:before="0" w:after="0"/>
        <w:rPr>
          <w:sz w:val="20"/>
          <w:szCs w:val="20"/>
        </w:rPr>
      </w:pPr>
      <w:r>
        <w:rPr>
          <w:b/>
          <w:sz w:val="20"/>
          <w:szCs w:val="20"/>
        </w:rPr>
        <w:t xml:space="preserve">American Heritage Lending Mortgage • </w:t>
      </w:r>
      <w:r>
        <w:rPr>
          <w:b/>
          <w:sz w:val="20"/>
          <w:szCs w:val="20"/>
          <w:highlight w:val="white"/>
        </w:rPr>
        <w:t>Costa Mesa, CA</w:t>
      </w:r>
      <w:r>
        <w:rPr>
          <w:sz w:val="20"/>
          <w:szCs w:val="20"/>
        </w:rPr>
        <w:tab/>
        <w:t xml:space="preserve"> </w:t>
      </w:r>
      <w:r>
        <w:rPr>
          <w:b/>
          <w:sz w:val="20"/>
          <w:szCs w:val="20"/>
        </w:rPr>
        <w:t>Sept 2016- Aug 2018</w:t>
      </w:r>
    </w:p>
    <w:p>
      <w:pPr>
        <w:pStyle w:val="Normal1"/>
        <w:numPr>
          <w:ilvl w:val="0"/>
          <w:numId w:val="4"/>
        </w:numPr>
        <w:spacing w:lineRule="auto" w:line="240" w:before="0" w:after="0"/>
        <w:ind w:hanging="360" w:left="270"/>
        <w:rPr>
          <w:rFonts w:ascii="Calibri" w:hAnsi="Calibri" w:eastAsia="Calibri" w:cs="Calibri"/>
          <w:b w:val="false"/>
          <w:sz w:val="20"/>
          <w:szCs w:val="20"/>
        </w:rPr>
      </w:pPr>
      <w:r>
        <w:rPr>
          <w:sz w:val="20"/>
          <w:szCs w:val="20"/>
        </w:rPr>
        <w:t>Conducted 100–150 cold and warm calls daily during the record-low interest rate refi boom of 2016–2018, qualifying and transferring 20–30 prospective clients per week to loan officers.</w:t>
      </w:r>
    </w:p>
    <w:p>
      <w:pPr>
        <w:pStyle w:val="Normal1"/>
        <w:numPr>
          <w:ilvl w:val="0"/>
          <w:numId w:val="4"/>
        </w:numPr>
        <w:spacing w:lineRule="auto" w:line="240" w:before="0" w:after="0"/>
        <w:ind w:hanging="360" w:left="270"/>
        <w:rPr>
          <w:rFonts w:ascii="Calibri" w:hAnsi="Calibri" w:eastAsia="Calibri" w:cs="Calibri"/>
          <w:b w:val="false"/>
          <w:sz w:val="20"/>
          <w:szCs w:val="20"/>
        </w:rPr>
      </w:pPr>
      <w:r>
        <w:rPr>
          <w:sz w:val="20"/>
          <w:szCs w:val="20"/>
        </w:rPr>
        <w:t>Supported documentation, initial qualification, and CRM (encompass) tracking of 10–20 active applications monthly, ensuring accurate records and efficient client handoffs in a high-volume, compliance-driven environment.</w:t>
      </w:r>
    </w:p>
    <w:p>
      <w:pPr>
        <w:pStyle w:val="Normal1"/>
        <w:numPr>
          <w:ilvl w:val="0"/>
          <w:numId w:val="4"/>
        </w:numPr>
        <w:spacing w:lineRule="auto" w:line="240" w:before="0" w:after="0"/>
        <w:ind w:hanging="360" w:left="270"/>
        <w:rPr>
          <w:rFonts w:ascii="Calibri" w:hAnsi="Calibri" w:eastAsia="Calibri" w:cs="Calibri"/>
          <w:b w:val="false"/>
          <w:sz w:val="20"/>
          <w:szCs w:val="20"/>
        </w:rPr>
      </w:pPr>
      <w:r>
        <w:rPr>
          <w:sz w:val="20"/>
          <w:szCs w:val="20"/>
        </w:rPr>
        <w:t>Collaborated with sales and processing teams to maintain a high-velocity loan pipeline and deliver timely applicant follow-up.</w:t>
      </w:r>
    </w:p>
    <w:p>
      <w:pPr>
        <w:pStyle w:val="Normal1"/>
        <w:numPr>
          <w:ilvl w:val="0"/>
          <w:numId w:val="4"/>
        </w:numPr>
        <w:spacing w:lineRule="auto" w:line="240" w:before="0" w:after="0"/>
        <w:ind w:hanging="360" w:left="270"/>
        <w:rPr>
          <w:rFonts w:ascii="Calibri" w:hAnsi="Calibri" w:eastAsia="Calibri" w:cs="Calibri"/>
          <w:b w:val="false"/>
          <w:sz w:val="20"/>
          <w:szCs w:val="20"/>
        </w:rPr>
      </w:pPr>
      <w:r>
        <w:rPr>
          <w:sz w:val="20"/>
          <w:szCs w:val="20"/>
        </w:rPr>
        <w:t>Maintained up-to-date product knowledge (FHA/VA, conventional, non-QM) to address borrower questions and optimize client qualification at first contact.</w:t>
      </w:r>
    </w:p>
    <w:p>
      <w:pPr>
        <w:pStyle w:val="Normal1"/>
        <w:keepNext w:val="false"/>
        <w:keepLines w:val="false"/>
        <w:pageBreakBefore w:val="false"/>
        <w:widowControl/>
        <w:shd w:val="clear" w:fill="auto"/>
        <w:spacing w:lineRule="auto" w:line="240" w:before="0" w:after="0"/>
        <w:ind w:hanging="0" w:left="0" w:right="0"/>
        <w:jc w:val="left"/>
        <w:rPr>
          <w:sz w:val="20"/>
          <w:szCs w:val="20"/>
        </w:rPr>
      </w:pPr>
      <w:r>
        <w:rPr>
          <w:sz w:val="20"/>
          <w:szCs w:val="20"/>
        </w:rPr>
      </w:r>
    </w:p>
    <w:p>
      <w:pPr>
        <w:pStyle w:val="Normal1"/>
        <w:widowControl w:val="false"/>
        <w:spacing w:lineRule="auto" w:line="240" w:before="0" w:after="0"/>
        <w:rPr>
          <w:sz w:val="20"/>
          <w:szCs w:val="20"/>
        </w:rPr>
      </w:pPr>
      <w:r>
        <w:rPr>
          <w:sz w:val="20"/>
          <w:szCs w:val="20"/>
        </w:rPr>
      </w:r>
    </w:p>
    <w:p>
      <w:pPr>
        <w:pStyle w:val="Normal1"/>
        <w:shd w:val="clear" w:fill="0D0D0D"/>
        <w:spacing w:lineRule="auto" w:line="240" w:before="0" w:after="60"/>
        <w:jc w:val="center"/>
        <w:rPr>
          <w:b/>
          <w:color w:val="FFFFFF"/>
          <w:sz w:val="20"/>
          <w:szCs w:val="20"/>
        </w:rPr>
      </w:pPr>
      <w:r>
        <w:rPr>
          <w:b/>
          <w:color w:val="FFFFFF"/>
          <w:sz w:val="20"/>
          <w:szCs w:val="20"/>
        </w:rPr>
        <w:t>EDUCATION , CERTIFICATIONS AND TRAINING</w:t>
      </w:r>
    </w:p>
    <w:p>
      <w:pPr>
        <w:pStyle w:val="Normal1"/>
        <w:widowControl w:val="false"/>
        <w:numPr>
          <w:ilvl w:val="0"/>
          <w:numId w:val="7"/>
        </w:numPr>
        <w:spacing w:lineRule="auto" w:line="288" w:before="0" w:after="0"/>
        <w:ind w:hanging="360" w:left="360"/>
        <w:rPr>
          <w:sz w:val="20"/>
          <w:szCs w:val="20"/>
          <w:highlight w:val="white"/>
          <w:u w:val="none"/>
        </w:rPr>
      </w:pPr>
      <w:r>
        <w:rPr>
          <w:b/>
          <w:sz w:val="20"/>
          <w:szCs w:val="20"/>
          <w:highlight w:val="white"/>
        </w:rPr>
        <w:t>California Real Estate Salesperson Exam</w:t>
      </w:r>
      <w:r>
        <w:rPr>
          <w:sz w:val="20"/>
          <w:szCs w:val="20"/>
          <w:highlight w:val="white"/>
        </w:rPr>
        <w:t xml:space="preserve"> – Passed July 2025</w:t>
      </w:r>
    </w:p>
    <w:p>
      <w:pPr>
        <w:pStyle w:val="Normal1"/>
        <w:widowControl w:val="false"/>
        <w:spacing w:lineRule="auto" w:line="288" w:before="0" w:after="0"/>
        <w:rPr>
          <w:sz w:val="20"/>
          <w:szCs w:val="20"/>
          <w:highlight w:val="white"/>
        </w:rPr>
      </w:pPr>
      <w:r>
        <w:rPr>
          <w:sz w:val="20"/>
          <w:szCs w:val="20"/>
          <w:highlight w:val="white"/>
        </w:rPr>
        <w:t>(License issuance pending through DRE)</w:t>
      </w:r>
    </w:p>
    <w:p>
      <w:pPr>
        <w:pStyle w:val="Normal1"/>
        <w:widowControl w:val="false"/>
        <w:numPr>
          <w:ilvl w:val="0"/>
          <w:numId w:val="2"/>
        </w:numPr>
        <w:spacing w:lineRule="auto" w:line="288" w:before="0" w:after="0"/>
        <w:ind w:hanging="360" w:left="360"/>
        <w:rPr>
          <w:sz w:val="20"/>
          <w:szCs w:val="20"/>
          <w:highlight w:val="white"/>
          <w:u w:val="none"/>
        </w:rPr>
      </w:pPr>
      <w:r>
        <w:rPr>
          <w:b/>
          <w:sz w:val="20"/>
          <w:szCs w:val="20"/>
          <w:highlight w:val="white"/>
        </w:rPr>
        <w:t>NMLS Licensed Mortgage Loan Originator</w:t>
      </w:r>
      <w:r>
        <w:rPr>
          <w:sz w:val="20"/>
          <w:szCs w:val="20"/>
          <w:highlight w:val="white"/>
        </w:rPr>
        <w:t xml:space="preserve"> – CA | NMLS ID: 2116936</w:t>
      </w:r>
    </w:p>
    <w:p>
      <w:pPr>
        <w:pStyle w:val="Normal1"/>
        <w:widowControl w:val="false"/>
        <w:numPr>
          <w:ilvl w:val="0"/>
          <w:numId w:val="6"/>
        </w:numPr>
        <w:spacing w:lineRule="auto" w:line="288" w:before="0" w:after="0"/>
        <w:ind w:hanging="360" w:left="360"/>
        <w:rPr>
          <w:sz w:val="20"/>
          <w:szCs w:val="20"/>
          <w:highlight w:val="white"/>
          <w:u w:val="none"/>
        </w:rPr>
      </w:pPr>
      <w:r>
        <w:rPr>
          <w:b/>
          <w:sz w:val="20"/>
          <w:szCs w:val="20"/>
          <w:highlight w:val="white"/>
        </w:rPr>
        <w:t>Bachelor of Science, Data Science</w:t>
      </w:r>
      <w:r>
        <w:rPr>
          <w:sz w:val="20"/>
          <w:szCs w:val="20"/>
          <w:highlight w:val="white"/>
        </w:rPr>
        <w:t xml:space="preserve"> (In Progress)</w:t>
      </w:r>
    </w:p>
    <w:p>
      <w:pPr>
        <w:pStyle w:val="Normal1"/>
        <w:widowControl w:val="false"/>
        <w:spacing w:lineRule="auto" w:line="288" w:before="0" w:after="0"/>
        <w:ind w:hanging="0" w:left="0"/>
        <w:rPr>
          <w:sz w:val="20"/>
          <w:szCs w:val="20"/>
          <w:highlight w:val="white"/>
        </w:rPr>
      </w:pPr>
      <w:r>
        <w:rPr>
          <w:sz w:val="20"/>
          <w:szCs w:val="20"/>
          <w:highlight w:val="white"/>
        </w:rPr>
        <w:t>Arizona State University – Tempe, AZ | Expected 2027</w:t>
      </w:r>
    </w:p>
    <w:p>
      <w:pPr>
        <w:pStyle w:val="Normal1"/>
        <w:widowControl w:val="false"/>
        <w:numPr>
          <w:ilvl w:val="0"/>
          <w:numId w:val="3"/>
        </w:numPr>
        <w:spacing w:lineRule="auto" w:line="288" w:before="0" w:after="0"/>
        <w:ind w:hanging="360" w:left="360"/>
        <w:rPr>
          <w:b/>
          <w:sz w:val="20"/>
          <w:szCs w:val="20"/>
          <w:highlight w:val="white"/>
          <w:u w:val="none"/>
        </w:rPr>
      </w:pPr>
      <w:r>
        <w:rPr>
          <w:b/>
          <w:sz w:val="20"/>
          <w:szCs w:val="20"/>
          <w:highlight w:val="white"/>
        </w:rPr>
        <w:t>Associate of Arts, Psychology</w:t>
      </w:r>
    </w:p>
    <w:p>
      <w:pPr>
        <w:pStyle w:val="Normal1"/>
        <w:widowControl w:val="false"/>
        <w:spacing w:lineRule="auto" w:line="288" w:before="0" w:after="0"/>
        <w:rPr>
          <w:sz w:val="20"/>
          <w:szCs w:val="20"/>
          <w:highlight w:val="white"/>
        </w:rPr>
      </w:pPr>
      <w:r>
        <w:rPr>
          <w:sz w:val="20"/>
          <w:szCs w:val="20"/>
          <w:highlight w:val="white"/>
        </w:rPr>
        <w:t>Fullerton College – Fullerton, CA | May 2016</w:t>
      </w:r>
    </w:p>
    <w:p>
      <w:pPr>
        <w:pStyle w:val="Normal1"/>
        <w:widowControl w:val="false"/>
        <w:numPr>
          <w:ilvl w:val="0"/>
          <w:numId w:val="1"/>
        </w:numPr>
        <w:spacing w:lineRule="auto" w:line="288" w:before="0" w:after="0"/>
        <w:ind w:hanging="360" w:left="360"/>
        <w:rPr>
          <w:sz w:val="20"/>
          <w:szCs w:val="20"/>
          <w:highlight w:val="white"/>
          <w:u w:val="none"/>
        </w:rPr>
      </w:pPr>
      <w:r>
        <w:rPr>
          <w:b/>
          <w:sz w:val="20"/>
          <w:szCs w:val="20"/>
          <w:highlight w:val="white"/>
        </w:rPr>
        <w:t xml:space="preserve">Credit Analyst Virtual Experience </w:t>
      </w:r>
      <w:r>
        <w:rPr>
          <w:sz w:val="20"/>
          <w:szCs w:val="20"/>
          <w:highlight w:val="white"/>
        </w:rPr>
        <w:t>— Standard Chartered Bank (Forage) | April 2025</w:t>
      </w:r>
    </w:p>
    <w:p>
      <w:pPr>
        <w:pStyle w:val="Normal1"/>
        <w:widowControl w:val="false"/>
        <w:spacing w:lineRule="auto" w:line="240" w:before="0" w:after="0"/>
        <w:rPr>
          <w:sz w:val="20"/>
          <w:szCs w:val="20"/>
          <w:highlight w:val="white"/>
        </w:rPr>
      </w:pPr>
      <w:r>
        <w:rPr>
          <w:sz w:val="20"/>
          <w:szCs w:val="20"/>
          <w:highlight w:val="white"/>
        </w:rPr>
        <w:t>Simulated credit risk assessments, financial statement analysis, and global loan structuring.</w:t>
      </w:r>
    </w:p>
    <w:p>
      <w:pPr>
        <w:pStyle w:val="Normal1"/>
        <w:widowControl w:val="false"/>
        <w:numPr>
          <w:ilvl w:val="0"/>
          <w:numId w:val="5"/>
        </w:numPr>
        <w:spacing w:lineRule="auto" w:line="240" w:before="0" w:after="0"/>
        <w:ind w:hanging="360" w:left="360"/>
        <w:rPr>
          <w:sz w:val="20"/>
          <w:szCs w:val="20"/>
          <w:highlight w:val="white"/>
          <w:u w:val="none"/>
        </w:rPr>
      </w:pPr>
      <w:r>
        <w:rPr>
          <w:b/>
          <w:sz w:val="20"/>
          <w:szCs w:val="20"/>
          <w:highlight w:val="white"/>
        </w:rPr>
        <w:t>HubSpot Sales Software Certification (2025)</w:t>
      </w:r>
      <w:r>
        <w:rPr>
          <w:sz w:val="20"/>
          <w:szCs w:val="20"/>
          <w:highlight w:val="white"/>
        </w:rPr>
        <w:t xml:space="preserve"> – Proficient in CRM utilization, pipeline automation, lead nurturing, and data-driven sales enablement.</w:t>
      </w:r>
    </w:p>
    <w:sectPr>
      <w:type w:val="continuous"/>
      <w:pgSz w:w="12240" w:h="15840"/>
      <w:pgMar w:left="737" w:right="737" w:gutter="0" w:header="510" w:top="737" w:footer="510" w:bottom="73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Quattrocento San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680" w:leader="none"/>
        <w:tab w:val="right" w:pos="9360" w:leader="none"/>
        <w:tab w:val="right" w:pos="1046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g">
          <w:drawing>
            <wp:anchor behindDoc="1" distT="0" distB="0" distL="0" distR="0" simplePos="0" locked="0" layoutInCell="1" allowOverlap="1" relativeHeight="11">
              <wp:simplePos x="0" y="0"/>
              <wp:positionH relativeFrom="column">
                <wp:posOffset>-431800</wp:posOffset>
              </wp:positionH>
              <wp:positionV relativeFrom="paragraph">
                <wp:posOffset>635</wp:posOffset>
              </wp:positionV>
              <wp:extent cx="7860665" cy="671830"/>
              <wp:effectExtent l="0" t="0" r="0" b="0"/>
              <wp:wrapNone/>
              <wp:docPr id="3" name="Shape1"/>
              <a:graphic xmlns:a="http://schemas.openxmlformats.org/drawingml/2006/main">
                <a:graphicData uri="http://schemas.microsoft.com/office/word/2010/wordprocessingGroup">
                  <wpg:wgp>
                    <wpg:cNvGrpSpPr/>
                    <wpg:grpSpPr>
                      <a:xfrm>
                        <a:off x="0" y="0"/>
                        <a:ext cx="7860600" cy="671760"/>
                        <a:chOff x="0" y="0"/>
                        <a:chExt cx="7860600" cy="671760"/>
                      </a:xfrm>
                    </wpg:grpSpPr>
                    <wpg:grpSp>
                      <wpg:cNvGrpSpPr/>
                      <wpg:grpSpPr>
                        <a:xfrm>
                          <a:off x="0" y="0"/>
                          <a:ext cx="7860600" cy="671760"/>
                        </a:xfrm>
                      </wpg:grpSpPr>
                      <wps:wsp>
                        <wps:cNvPr id="4" name="Shape 4"/>
                        <wps:cNvSpPr/>
                        <wps:spPr>
                          <a:xfrm>
                            <a:off x="0" y="0"/>
                            <a:ext cx="7860600" cy="67176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g:grpSp>
                        <wpg:cNvGrpSpPr/>
                        <wpg:grpSpPr>
                          <a:xfrm>
                            <a:off x="0" y="0"/>
                            <a:ext cx="7860600" cy="671760"/>
                          </a:xfrm>
                        </wpg:grpSpPr>
                        <wps:wsp>
                          <wps:cNvPr id="5" name="Shape 6"/>
                          <wps:cNvSpPr/>
                          <wps:spPr>
                            <a:xfrm>
                              <a:off x="0" y="0"/>
                              <a:ext cx="7860600" cy="67176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6" name="Shape 7"/>
                          <wps:cNvSpPr/>
                          <wps:spPr>
                            <a:xfrm flipH="1">
                              <a:off x="252000" y="0"/>
                              <a:ext cx="7607880" cy="665640"/>
                            </a:xfrm>
                            <a:prstGeom prst="rtTriangle">
                              <a:avLst/>
                            </a:prstGeom>
                            <a:solidFill>
                              <a:srgbClr val="757070"/>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s:wsp>
                          <wps:cNvPr id="7" name="Shape 8"/>
                          <wps:cNvSpPr/>
                          <wps:spPr>
                            <a:xfrm>
                              <a:off x="0" y="40680"/>
                              <a:ext cx="7607880" cy="631080"/>
                            </a:xfrm>
                            <a:prstGeom prst="rtTriangle">
                              <a:avLst/>
                            </a:prstGeom>
                            <a:solidFill>
                              <a:srgbClr val="002060"/>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lIns="0" rIns="0" tIns="0" bIns="0" anchor="ctr">
                            <a:noAutofit/>
                          </wps:bodyPr>
                        </wps:wsp>
                      </wpg:grpSp>
                    </wpg:grpSp>
                  </wpg:wgp>
                </a:graphicData>
              </a:graphic>
            </wp:anchor>
          </w:drawing>
        </mc:Choice>
        <mc:Fallback>
          <w:pict>
            <v:group id="shape_0" alt="Shape1" style="position:absolute;margin-left:-34pt;margin-top:0.05pt;width:618.95pt;height:52.9pt" coordorigin="-680,1" coordsize="12379,1058">
              <v:group id="shape_0" style="position:absolute;left:-680;top:1;width:12379;height:1058">
                <v:rect id="shape_0" ID="Shape 4" path="m0,0l-2147483645,0l-2147483645,-2147483646l0,-2147483646xe" stroked="f" o:allowincell="f" style="position:absolute;left:-680;top:1;width:12378;height:1057;mso-wrap-style:none;v-text-anchor:middl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group id="shape_0" style="position:absolute;left:-680;top:1;width:12379;height:1058">
                  <v:rect id="shape_0" ID="Shape 6" path="m0,0l-2147483645,0l-2147483645,-2147483646l0,-2147483646xe" stroked="f" o:allowincell="f" style="position:absolute;left:-680;top:1;width:12378;height:1057;mso-wrap-style:none;v-text-anchor:middl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shape id="shape_0" ID="Shape 7" path="l0,0l-2147483639,-2147483641xe" fillcolor="#757070" stroked="f" o:allowincell="f" style="position:absolute;left:-283;top:1;width:11980;height:1047;flip:x;mso-wrap-style:none;v-text-anchor:middle" type="_x0000_t6">
                    <v:fill o:detectmouseclick="t" type="solid" color2="#8a8f8f"/>
                    <v:stroke color="#3465a4" joinstyle="round" endcap="flat"/>
                    <v:textbox>
                      <w:txbxContent>
                        <w:p>
                          <w:pPr>
                            <w:pStyle w:val="Normal1"/>
                            <w:spacing w:lineRule="exact" w:line="240" w:before="0" w:after="0"/>
                            <w:ind w:hanging="0" w:left="0" w:right="0"/>
                            <w:jc w:val="left"/>
                            <w:rPr/>
                          </w:pPr>
                          <w:r>
                            <w:rPr/>
                          </w:r>
                        </w:p>
                      </w:txbxContent>
                    </v:textbox>
                    <w10:wrap type="none"/>
                  </v:shape>
                  <v:shape id="shape_0" ID="Shape 8" path="l0,0l-2147483639,-2147483641xe" fillcolor="#002060" stroked="f" o:allowincell="f" style="position:absolute;left:-680;top:65;width:11980;height:993;mso-wrap-style:none;v-text-anchor:middle" type="_x0000_t6">
                    <v:fill o:detectmouseclick="t" type="solid" color2="#ffdf9f"/>
                    <v:stroke color="#3465a4" joinstyle="round" endcap="flat"/>
                    <v:textbox>
                      <w:txbxContent>
                        <w:p>
                          <w:pPr>
                            <w:pStyle w:val="Normal1"/>
                            <w:spacing w:lineRule="exact" w:line="240" w:before="0" w:after="0"/>
                            <w:ind w:hanging="0" w:left="0" w:right="0"/>
                            <w:jc w:val="left"/>
                            <w:rPr/>
                          </w:pPr>
                          <w:r>
                            <w:rPr/>
                          </w:r>
                        </w:p>
                      </w:txbxContent>
                    </v:textbox>
                    <w10:wrap type="none"/>
                  </v:shape>
                </v:group>
              </v:group>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680" w:leader="none"/>
        <w:tab w:val="right" w:pos="9360" w:leader="none"/>
        <w:tab w:val="right" w:pos="10466"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mc:AlternateContent>
        <mc:Choice Requires="wps">
          <w:drawing>
            <wp:anchor behindDoc="1" distT="0" distB="0" distL="0" distR="0" simplePos="0" locked="0" layoutInCell="1" allowOverlap="1" relativeHeight="2">
              <wp:simplePos x="0" y="0"/>
              <wp:positionH relativeFrom="column">
                <wp:posOffset>-520700</wp:posOffset>
              </wp:positionH>
              <wp:positionV relativeFrom="paragraph">
                <wp:posOffset>25400</wp:posOffset>
              </wp:positionV>
              <wp:extent cx="7627620" cy="650240"/>
              <wp:effectExtent l="0" t="0" r="0" b="0"/>
              <wp:wrapNone/>
              <wp:docPr id="8" name="Shape 2"/>
              <a:graphic xmlns:a="http://schemas.openxmlformats.org/drawingml/2006/main">
                <a:graphicData uri="http://schemas.microsoft.com/office/word/2010/wordprocessingShape">
                  <wps:wsp>
                    <wps:cNvSpPr/>
                    <wps:spPr>
                      <a:xfrm>
                        <a:off x="0" y="0"/>
                        <a:ext cx="7627680" cy="650160"/>
                      </a:xfrm>
                      <a:prstGeom prst="rtTriangle">
                        <a:avLst/>
                      </a:prstGeom>
                      <a:solidFill>
                        <a:schemeClr val="dk1"/>
                      </a:solidFill>
                      <a:ln w="0">
                        <a:noFill/>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shape id="shape_0" ID="Shape 2" path="l0,0l-2147483639,-2147483641xe" fillcolor="black" stroked="f" o:allowincell="f" style="position:absolute;margin-left:-41pt;margin-top:2pt;width:600.55pt;height:51.15pt;mso-wrap-style:none;v-text-anchor:middle" type="_x0000_t6">
              <v:fill o:detectmouseclick="t" type="solid" color2="white"/>
              <v:stroke color="#3465a4"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shape>
          </w:pict>
        </mc:Fallback>
      </mc:AlternateContent>
      <mc:AlternateContent>
        <mc:Choice Requires="wps">
          <w:drawing>
            <wp:anchor behindDoc="1" distT="0" distB="0" distL="0" distR="0" simplePos="0" locked="0" layoutInCell="1" allowOverlap="1" relativeHeight="4">
              <wp:simplePos x="0" y="0"/>
              <wp:positionH relativeFrom="column">
                <wp:posOffset>-267970</wp:posOffset>
              </wp:positionH>
              <wp:positionV relativeFrom="paragraph">
                <wp:posOffset>25400</wp:posOffset>
              </wp:positionV>
              <wp:extent cx="7627620" cy="684530"/>
              <wp:effectExtent l="0" t="0" r="0" b="0"/>
              <wp:wrapNone/>
              <wp:docPr id="9" name="Shape 20"/>
              <a:graphic xmlns:a="http://schemas.openxmlformats.org/drawingml/2006/main">
                <a:graphicData uri="http://schemas.microsoft.com/office/word/2010/wordprocessingShape">
                  <wps:wsp>
                    <wps:cNvSpPr/>
                    <wps:spPr>
                      <a:xfrm flipH="1">
                        <a:off x="0" y="0"/>
                        <a:ext cx="7627680" cy="684360"/>
                      </a:xfrm>
                      <a:prstGeom prst="rtTriangle">
                        <a:avLst/>
                      </a:prstGeom>
                      <a:solidFill>
                        <a:schemeClr val="accent3"/>
                      </a:solidFill>
                      <a:ln w="0">
                        <a:noFill/>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shape id="shape_0" ID="Shape 20" path="l0,0l-2147483639,-2147483641xe" fillcolor="#9bbb59" stroked="f" o:allowincell="f" style="position:absolute;margin-left:-21.1pt;margin-top:2pt;width:600.55pt;height:53.85pt;flip:x;mso-wrap-style:none;v-text-anchor:middle" type="_x0000_t6">
              <v:fill o:detectmouseclick="t" type="solid" color2="#6444a6"/>
              <v:stroke color="#3465a4"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shape>
          </w:pict>
        </mc:Fallback>
      </mc:AlternateConten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bottom w:val="single" w:sz="12" w:space="1" w:color="002060"/>
      </w:pBdr>
      <w:tabs>
        <w:tab w:val="clear" w:pos="720"/>
        <w:tab w:val="right" w:pos="10224" w:leader="none"/>
      </w:tabs>
      <w:spacing w:lineRule="auto" w:line="240" w:before="0" w:after="0"/>
      <w:rPr>
        <w:sz w:val="19"/>
        <w:szCs w:val="19"/>
      </w:rPr>
    </w:pPr>
    <w:r>
      <w:rPr>
        <w:b/>
        <w:sz w:val="28"/>
        <w:szCs w:val="28"/>
      </w:rPr>
      <w:t xml:space="preserve"> </w:t>
    </w:r>
    <w:r>
      <w:rPr>
        <w:b/>
        <w:sz w:val="28"/>
        <w:szCs w:val="28"/>
      </w:rPr>
      <w:t>| David O.</w:t>
    </w:r>
    <w:r>
      <w:rPr>
        <w:b/>
        <w:sz w:val="32"/>
        <w:szCs w:val="32"/>
      </w:rPr>
      <w:tab/>
    </w:r>
    <w:r>
      <w:rPr>
        <w:sz w:val="20"/>
        <w:szCs w:val="20"/>
      </w:rPr>
      <w:t xml:space="preserve">562.528.2788 ⏐  </w:t>
    </w:r>
    <w:r>
      <w:rPr>
        <w:sz w:val="20"/>
        <w:szCs w:val="20"/>
        <w:highlight w:val="white"/>
      </w:rPr>
      <w:t>David.ortiz.lending@gmail.com</w:t>
    </w:r>
  </w:p>
  <w:p>
    <w:pPr>
      <w:pStyle w:val="Normal1"/>
      <w:keepNext w:val="false"/>
      <w:keepLines w:val="false"/>
      <w:widowControl/>
      <w:shd w:val="clear" w:fill="auto"/>
      <w:tabs>
        <w:tab w:val="clear" w:pos="720"/>
        <w:tab w:val="center" w:pos="4680" w:leader="none"/>
        <w:tab w:val="right" w:pos="9360" w:leader="none"/>
      </w:tabs>
      <w:spacing w:lineRule="auto" w:line="240" w:before="0" w:after="0"/>
      <w:ind w:hanging="0" w:left="0" w:right="0"/>
      <w:jc w:val="left"/>
      <w:rPr>
        <w:sz w:val="16"/>
        <w:szCs w:val="16"/>
      </w:rPr>
    </w:pPr>
    <w:r>
      <w:rPr>
        <w:sz w:val="16"/>
        <w:szCs w:val="16"/>
      </w:rPr>
    </w:r>
  </w:p>
  <w:p>
    <w:pPr>
      <w:pStyle w:val="Normal1"/>
      <w:keepNext w:val="false"/>
      <w:keepLines w:val="false"/>
      <w:widowControl/>
      <w:shd w:val="clear" w:fill="auto"/>
      <w:tabs>
        <w:tab w:val="clear" w:pos="720"/>
        <w:tab w:val="center" w:pos="4680" w:leader="none"/>
        <w:tab w:val="right" w:pos="9360" w:leader="none"/>
      </w:tabs>
      <w:spacing w:lineRule="auto" w:line="240" w:before="0" w:after="0"/>
      <w:ind w:hanging="0" w:left="0" w:right="0"/>
      <w:jc w:val="right"/>
      <w:rPr>
        <w:sz w:val="16"/>
        <w:szCs w:val="16"/>
      </w:rPr>
    </w:pPr>
    <w:r>
      <w:rPr/>
      <w:fldChar w:fldCharType="begin"/>
    </w:r>
    <w:r>
      <w:rPr/>
      <w:instrText xml:space="preserve"> PAGE </w:instrText>
    </w:r>
    <w:r>
      <w:rPr/>
      <w:fldChar w:fldCharType="separate"/>
    </w:r>
    <w:r>
      <w:rPr/>
      <w:t>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680" w:leader="none"/>
        <w:tab w:val="right" w:pos="9360" w:leader="none"/>
      </w:tabs>
      <w:spacing w:lineRule="auto" w:line="240" w:before="0" w:after="0"/>
      <w:ind w:hanging="0" w:left="0" w:right="0"/>
      <w:jc w:val="center"/>
      <w:rPr>
        <w:rFonts w:ascii="Quattrocento Sans" w:hAnsi="Quattrocento Sans" w:eastAsia="Quattrocento Sans" w:cs="Quattrocento Sans"/>
        <w:b/>
        <w:smallCaps/>
        <w:sz w:val="20"/>
        <w:szCs w:val="20"/>
      </w:rPr>
    </w:pPr>
    <w:r>
      <w:rPr>
        <w:rFonts w:eastAsia="Quattrocento Sans" w:cs="Quattrocento Sans" w:ascii="Quattrocento Sans" w:hAnsi="Quattrocento Sans"/>
        <w:b/>
        <w:smallCaps/>
        <w:sz w:val="20"/>
        <w:szCs w:val="20"/>
      </w:rPr>
      <mc:AlternateContent>
        <mc:Choice Requires="wps">
          <w:drawing>
            <wp:anchor behindDoc="1" distT="0" distB="0" distL="0" distR="0" simplePos="0" locked="0" layoutInCell="1" allowOverlap="1" relativeHeight="16">
              <wp:simplePos x="0" y="0"/>
              <wp:positionH relativeFrom="column">
                <wp:posOffset>-692150</wp:posOffset>
              </wp:positionH>
              <wp:positionV relativeFrom="paragraph">
                <wp:posOffset>-474980</wp:posOffset>
              </wp:positionV>
              <wp:extent cx="7627620" cy="600075"/>
              <wp:effectExtent l="0" t="0" r="0" b="0"/>
              <wp:wrapNone/>
              <wp:docPr id="1" name="Shape 16"/>
              <a:graphic xmlns:a="http://schemas.openxmlformats.org/drawingml/2006/main">
                <a:graphicData uri="http://schemas.microsoft.com/office/word/2010/wordprocessingShape">
                  <wps:wsp>
                    <wps:cNvSpPr/>
                    <wps:spPr>
                      <a:xfrm flipH="1" rot="10800000">
                        <a:off x="0" y="0"/>
                        <a:ext cx="7627680" cy="600120"/>
                      </a:xfrm>
                      <a:prstGeom prst="rtTriangle">
                        <a:avLst/>
                      </a:prstGeom>
                      <a:solidFill>
                        <a:srgbClr val="0c0c0c"/>
                      </a:solidFill>
                      <a:ln w="0">
                        <a:noFill/>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shapetype id="_x0000_t6" coordsize="21600,21600" o:spt="6" path="m,21600l,l21600,21600xe">
              <v:stroke joinstyle="miter"/>
              <v:formulas>
                <v:f eqn="prod height 7 12"/>
                <v:f eqn="prod width 7 12"/>
                <v:f eqn="prod height 11 12"/>
              </v:formulas>
              <v:path gradientshapeok="t" o:connecttype="rect" textboxrect="1800,@0,@1,@2"/>
            </v:shapetype>
            <v:shape id="shape_0" ID="Shape 16" path="l0,0l-2147483639,-2147483641xe" fillcolor="#0c0c0c" stroked="f" o:allowincell="f" style="position:absolute;margin-left:-54.55pt;margin-top:-37.45pt;width:600.55pt;height:47.2pt;flip:x;mso-wrap-style:none;v-text-anchor:middle;rotation:180" type="_x0000_t6">
              <v:fill o:detectmouseclick="t" type="solid" color2="#f3f3f3"/>
              <v:stroke color="#3465a4"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shape>
          </w:pict>
        </mc:Fallback>
      </mc:AlternateContent>
      <mc:AlternateContent>
        <mc:Choice Requires="wps">
          <w:drawing>
            <wp:anchor behindDoc="1" distT="0" distB="0" distL="0" distR="0" simplePos="0" locked="0" layoutInCell="1" allowOverlap="1" relativeHeight="18">
              <wp:simplePos x="0" y="0"/>
              <wp:positionH relativeFrom="column">
                <wp:posOffset>-20320</wp:posOffset>
              </wp:positionH>
              <wp:positionV relativeFrom="paragraph">
                <wp:posOffset>-474980</wp:posOffset>
              </wp:positionV>
              <wp:extent cx="7882890" cy="684530"/>
              <wp:effectExtent l="0" t="0" r="0" b="0"/>
              <wp:wrapNone/>
              <wp:docPr id="2" name="Shape 17"/>
              <a:graphic xmlns:a="http://schemas.openxmlformats.org/drawingml/2006/main">
                <a:graphicData uri="http://schemas.microsoft.com/office/word/2010/wordprocessingShape">
                  <wps:wsp>
                    <wps:cNvSpPr/>
                    <wps:spPr>
                      <a:xfrm rot="10800000">
                        <a:off x="0" y="0"/>
                        <a:ext cx="7882920" cy="684360"/>
                      </a:xfrm>
                      <a:prstGeom prst="rtTriangle">
                        <a:avLst/>
                      </a:prstGeom>
                      <a:solidFill>
                        <a:schemeClr val="accent3"/>
                      </a:solidFill>
                      <a:ln w="0">
                        <a:noFill/>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shape id="shape_0" ID="Shape 17" path="l0,0l-2147483639,-2147483641xe" fillcolor="#9bbb59" stroked="f" o:allowincell="f" style="position:absolute;margin-left:-1.65pt;margin-top:-37.45pt;width:620.65pt;height:53.85pt;mso-wrap-style:none;v-text-anchor:middle;rotation:180" type="_x0000_t6">
              <v:fill o:detectmouseclick="t" type="solid" color2="#6444a6"/>
              <v:stroke color="#3465a4"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270" w:hanging="360"/>
      </w:pPr>
      <w:rPr>
        <w:rFonts w:ascii="Noto Sans Symbols" w:hAnsi="Noto Sans Symbols" w:cs="Noto Sans Symbols" w:hint="default"/>
        <w:sz w:val="16"/>
        <w:i w:val="false"/>
        <w:b/>
        <w:szCs w:val="16"/>
        <w:color w:val="000000"/>
      </w:rPr>
    </w:lvl>
    <w:lvl w:ilvl="1">
      <w:start w:val="1"/>
      <w:numFmt w:val="bullet"/>
      <w:lvlText w:val="o"/>
      <w:lvlJc w:val="left"/>
      <w:pPr>
        <w:tabs>
          <w:tab w:val="num" w:pos="0"/>
        </w:tabs>
        <w:ind w:left="990" w:hanging="360"/>
      </w:pPr>
      <w:rPr>
        <w:rFonts w:ascii="Courier New" w:hAnsi="Courier New" w:cs="Courier New" w:hint="default"/>
      </w:rPr>
    </w:lvl>
    <w:lvl w:ilvl="2">
      <w:start w:val="1"/>
      <w:numFmt w:val="bullet"/>
      <w:lvlText w:val="▪"/>
      <w:lvlJc w:val="left"/>
      <w:pPr>
        <w:tabs>
          <w:tab w:val="num" w:pos="0"/>
        </w:tabs>
        <w:ind w:left="1710" w:hanging="360"/>
      </w:pPr>
      <w:rPr>
        <w:rFonts w:ascii="Noto Sans Symbols" w:hAnsi="Noto Sans Symbols" w:cs="Noto Sans Symbols" w:hint="default"/>
      </w:rPr>
    </w:lvl>
    <w:lvl w:ilvl="3">
      <w:start w:val="1"/>
      <w:numFmt w:val="bullet"/>
      <w:lvlText w:val="●"/>
      <w:lvlJc w:val="left"/>
      <w:pPr>
        <w:tabs>
          <w:tab w:val="num" w:pos="0"/>
        </w:tabs>
        <w:ind w:left="2430" w:hanging="360"/>
      </w:pPr>
      <w:rPr>
        <w:rFonts w:ascii="Noto Sans Symbols" w:hAnsi="Noto Sans Symbols" w:cs="Noto Sans Symbols" w:hint="default"/>
      </w:rPr>
    </w:lvl>
    <w:lvl w:ilvl="4">
      <w:start w:val="1"/>
      <w:numFmt w:val="bullet"/>
      <w:lvlText w:val="o"/>
      <w:lvlJc w:val="left"/>
      <w:pPr>
        <w:tabs>
          <w:tab w:val="num" w:pos="0"/>
        </w:tabs>
        <w:ind w:left="3150" w:hanging="360"/>
      </w:pPr>
      <w:rPr>
        <w:rFonts w:ascii="Courier New" w:hAnsi="Courier New" w:cs="Courier New" w:hint="default"/>
      </w:rPr>
    </w:lvl>
    <w:lvl w:ilvl="5">
      <w:start w:val="1"/>
      <w:numFmt w:val="bullet"/>
      <w:lvlText w:val="▪"/>
      <w:lvlJc w:val="left"/>
      <w:pPr>
        <w:tabs>
          <w:tab w:val="num" w:pos="0"/>
        </w:tabs>
        <w:ind w:left="3870" w:hanging="360"/>
      </w:pPr>
      <w:rPr>
        <w:rFonts w:ascii="Noto Sans Symbols" w:hAnsi="Noto Sans Symbols" w:cs="Noto Sans Symbols" w:hint="default"/>
      </w:rPr>
    </w:lvl>
    <w:lvl w:ilvl="6">
      <w:start w:val="1"/>
      <w:numFmt w:val="bullet"/>
      <w:lvlText w:val="●"/>
      <w:lvlJc w:val="left"/>
      <w:pPr>
        <w:tabs>
          <w:tab w:val="num" w:pos="0"/>
        </w:tabs>
        <w:ind w:left="4590" w:hanging="360"/>
      </w:pPr>
      <w:rPr>
        <w:rFonts w:ascii="Noto Sans Symbols" w:hAnsi="Noto Sans Symbols" w:cs="Noto Sans Symbols" w:hint="default"/>
      </w:rPr>
    </w:lvl>
    <w:lvl w:ilvl="7">
      <w:start w:val="1"/>
      <w:numFmt w:val="bullet"/>
      <w:lvlText w:val="o"/>
      <w:lvlJc w:val="left"/>
      <w:pPr>
        <w:tabs>
          <w:tab w:val="num" w:pos="0"/>
        </w:tabs>
        <w:ind w:left="5310" w:hanging="360"/>
      </w:pPr>
      <w:rPr>
        <w:rFonts w:ascii="Courier New" w:hAnsi="Courier New" w:cs="Courier New" w:hint="default"/>
      </w:rPr>
    </w:lvl>
    <w:lvl w:ilvl="8">
      <w:start w:val="1"/>
      <w:numFmt w:val="bullet"/>
      <w:lvlText w:val="▪"/>
      <w:lvlJc w:val="left"/>
      <w:pPr>
        <w:tabs>
          <w:tab w:val="num" w:pos="0"/>
        </w:tabs>
        <w:ind w:left="603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LibreOffice/7.6.1.2$Windows_X86_64 LibreOffice_project/f5defcebd022c5bc36bbb79be232cb6926d8f674</Application>
  <AppVersion>15.0000</AppVersion>
  <Pages>3</Pages>
  <Words>1083</Words>
  <Characters>6817</Characters>
  <CharactersWithSpaces>7841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2025-08-10T16:35:10Z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