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settings.xml" ContentType="application/vnd.openxmlformats-officedocument.wordprocessingml.setting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</w:pPr>
      <w:r>
        <w:rPr/>
        <w:t>S</w:t>
      </w:r>
      <w:r>
        <w:rPr/>
        <w:t>5</w:t>
      </w:r>
      <w:r>
        <w:rPr/>
        <w:t xml:space="preserve"> Table:</w:t>
      </w:r>
      <w:r/>
    </w:p>
    <w:p>
      <w:pPr>
        <w:pStyle w:val="Normal"/>
        <w:rPr>
          <w:sz w:val="24"/>
          <w:sz w:val="24"/>
          <w:szCs w:val="24"/>
          <w:rFonts w:ascii="Liberation Serif" w:hAnsi="Liberation Serif" w:eastAsia="Arial Unicode MS" w:cs="Arial Unicode MS"/>
          <w:color w:val="00000A"/>
          <w:lang w:val="en-US" w:eastAsia="zh-CN" w:bidi="hi-IN"/>
        </w:rPr>
      </w:pPr>
      <w:r>
        <w:rPr/>
        <w:t>Linear model fit for the residuals model without genome size</w:t>
      </w:r>
      <w:r/>
    </w:p>
    <w:p>
      <w:pPr>
        <w:pStyle w:val="Normal"/>
      </w:pPr>
      <w:r>
        <w:rPr/>
      </w:r>
      <w:r/>
    </w:p>
    <w:tbl>
      <w:tblPr>
        <w:tblW w:w="8818" w:type="dxa"/>
        <w:jc w:val="left"/>
        <w:tblInd w:w="43" w:type="dxa"/>
        <w:tblBorders>
          <w:top w:val="single" w:sz="2" w:space="0" w:color="000001"/>
          <w:left w:val="single" w:sz="2" w:space="0" w:color="000001"/>
          <w:bottom w:val="single" w:sz="2" w:space="0" w:color="000001"/>
          <w:insideH w:val="single" w:sz="2" w:space="0" w:color="000001"/>
        </w:tblBorders>
        <w:tblCellMar>
          <w:top w:w="55" w:type="dxa"/>
          <w:left w:w="39" w:type="dxa"/>
          <w:bottom w:w="55" w:type="dxa"/>
          <w:right w:w="55" w:type="dxa"/>
        </w:tblCellMar>
      </w:tblPr>
      <w:tblGrid>
        <w:gridCol w:w="3051"/>
        <w:gridCol w:w="1173"/>
        <w:gridCol w:w="1260"/>
        <w:gridCol w:w="1082"/>
        <w:gridCol w:w="2252"/>
      </w:tblGrid>
      <w:tr>
        <w:trPr/>
        <w:tc>
          <w:tcPr>
            <w:tcW w:w="3051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fill="auto" w:val="clear"/>
            <w:tcMar>
              <w:left w:w="39" w:type="dxa"/>
            </w:tcMar>
          </w:tcPr>
          <w:p>
            <w:pPr>
              <w:pStyle w:val="TableContents"/>
            </w:pPr>
            <w:r>
              <w:rPr/>
            </w:r>
            <w:r/>
          </w:p>
        </w:tc>
        <w:tc>
          <w:tcPr>
            <w:tcW w:w="1173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fill="auto" w:val="clear"/>
            <w:tcMar>
              <w:left w:w="39" w:type="dxa"/>
            </w:tcMar>
          </w:tcPr>
          <w:p>
            <w:pPr>
              <w:pStyle w:val="Normal"/>
            </w:pPr>
            <w:r>
              <w:rPr/>
              <w:t xml:space="preserve">Estimate </w:t>
            </w:r>
            <w:r/>
          </w:p>
        </w:tc>
        <w:tc>
          <w:tcPr>
            <w:tcW w:w="126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fill="auto" w:val="clear"/>
            <w:tcMar>
              <w:left w:w="39" w:type="dxa"/>
            </w:tcMar>
          </w:tcPr>
          <w:p>
            <w:pPr>
              <w:pStyle w:val="Normal"/>
            </w:pPr>
            <w:r>
              <w:rPr/>
              <w:t>Std. Error</w:t>
            </w:r>
            <w:r/>
          </w:p>
        </w:tc>
        <w:tc>
          <w:tcPr>
            <w:tcW w:w="108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fill="auto" w:val="clear"/>
            <w:tcMar>
              <w:left w:w="39" w:type="dxa"/>
            </w:tcMar>
          </w:tcPr>
          <w:p>
            <w:pPr>
              <w:pStyle w:val="Normal"/>
            </w:pPr>
            <w:r>
              <w:rPr/>
              <w:t>t value</w:t>
            </w:r>
            <w:r/>
          </w:p>
        </w:tc>
        <w:tc>
          <w:tcPr>
            <w:tcW w:w="225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fill="auto" w:val="clear"/>
            <w:tcMar>
              <w:left w:w="39" w:type="dxa"/>
            </w:tcMar>
          </w:tcPr>
          <w:p>
            <w:pPr>
              <w:pStyle w:val="Normal"/>
            </w:pPr>
            <w:r>
              <w:rPr/>
              <w:t xml:space="preserve">Pr(&gt;|t|)    </w:t>
            </w:r>
            <w:r/>
          </w:p>
        </w:tc>
      </w:tr>
      <w:tr>
        <w:trPr/>
        <w:tc>
          <w:tcPr>
            <w:tcW w:w="3051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fill="auto" w:val="clear"/>
            <w:tcMar>
              <w:left w:w="39" w:type="dxa"/>
            </w:tcMar>
          </w:tcPr>
          <w:p>
            <w:pPr>
              <w:pStyle w:val="Normal"/>
            </w:pPr>
            <w:r>
              <w:rPr/>
              <w:t xml:space="preserve">(Intercept) </w:t>
            </w:r>
            <w:r/>
          </w:p>
        </w:tc>
        <w:tc>
          <w:tcPr>
            <w:tcW w:w="1173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fill="auto" w:val="clear"/>
            <w:tcMar>
              <w:left w:w="39" w:type="dxa"/>
            </w:tcMar>
          </w:tcPr>
          <w:p>
            <w:pPr>
              <w:pStyle w:val="Normal"/>
            </w:pPr>
            <w:r>
              <w:rPr/>
              <w:t>-0.65723</w:t>
            </w:r>
            <w:r/>
          </w:p>
        </w:tc>
        <w:tc>
          <w:tcPr>
            <w:tcW w:w="126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fill="auto" w:val="clear"/>
            <w:tcMar>
              <w:left w:w="39" w:type="dxa"/>
            </w:tcMar>
          </w:tcPr>
          <w:p>
            <w:pPr>
              <w:pStyle w:val="Normal"/>
            </w:pPr>
            <w:r>
              <w:rPr/>
              <w:t>0.19840</w:t>
            </w:r>
            <w:r/>
          </w:p>
        </w:tc>
        <w:tc>
          <w:tcPr>
            <w:tcW w:w="108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fill="auto" w:val="clear"/>
            <w:tcMar>
              <w:left w:w="39" w:type="dxa"/>
            </w:tcMar>
          </w:tcPr>
          <w:p>
            <w:pPr>
              <w:pStyle w:val="Normal"/>
            </w:pPr>
            <w:r>
              <w:rPr/>
              <w:t>-3.313</w:t>
            </w:r>
            <w:r/>
          </w:p>
        </w:tc>
        <w:tc>
          <w:tcPr>
            <w:tcW w:w="225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fill="auto" w:val="clear"/>
            <w:tcMar>
              <w:left w:w="39" w:type="dxa"/>
            </w:tcMar>
          </w:tcPr>
          <w:p>
            <w:pPr>
              <w:pStyle w:val="Normal"/>
            </w:pPr>
            <w:r>
              <w:rPr/>
              <w:t>0.00216</w:t>
            </w:r>
            <w:r/>
          </w:p>
        </w:tc>
      </w:tr>
      <w:tr>
        <w:trPr/>
        <w:tc>
          <w:tcPr>
            <w:tcW w:w="3051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fill="auto" w:val="clear"/>
            <w:tcMar>
              <w:left w:w="39" w:type="dxa"/>
            </w:tcMar>
          </w:tcPr>
          <w:p>
            <w:pPr>
              <w:pStyle w:val="TableContents"/>
            </w:pPr>
            <w:r>
              <w:rPr/>
              <w:t>Log</w:t>
            </w:r>
            <w:r>
              <w:rPr>
                <w:vertAlign w:val="subscript"/>
              </w:rPr>
              <w:t>10</w:t>
            </w:r>
            <w:r>
              <w:rPr/>
              <w:t xml:space="preserve"> (range)</w:t>
            </w:r>
            <w:r/>
          </w:p>
        </w:tc>
        <w:tc>
          <w:tcPr>
            <w:tcW w:w="1173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fill="auto" w:val="clear"/>
            <w:tcMar>
              <w:left w:w="39" w:type="dxa"/>
            </w:tcMar>
          </w:tcPr>
          <w:p>
            <w:pPr>
              <w:pStyle w:val="Normal"/>
            </w:pPr>
            <w:r>
              <w:rPr/>
              <w:t>0.08105</w:t>
            </w:r>
            <w:r/>
          </w:p>
        </w:tc>
        <w:tc>
          <w:tcPr>
            <w:tcW w:w="126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fill="auto" w:val="clear"/>
            <w:tcMar>
              <w:left w:w="39" w:type="dxa"/>
            </w:tcMar>
          </w:tcPr>
          <w:p>
            <w:pPr>
              <w:pStyle w:val="Normal"/>
            </w:pPr>
            <w:r>
              <w:rPr/>
              <w:t>0.02975</w:t>
            </w:r>
            <w:r/>
          </w:p>
        </w:tc>
        <w:tc>
          <w:tcPr>
            <w:tcW w:w="108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fill="auto" w:val="clear"/>
            <w:tcMar>
              <w:left w:w="39" w:type="dxa"/>
            </w:tcMar>
          </w:tcPr>
          <w:p>
            <w:pPr>
              <w:pStyle w:val="Normal"/>
            </w:pPr>
            <w:r>
              <w:rPr/>
              <w:t>2.724</w:t>
            </w:r>
            <w:r/>
          </w:p>
        </w:tc>
        <w:tc>
          <w:tcPr>
            <w:tcW w:w="225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fill="auto" w:val="clear"/>
            <w:tcMar>
              <w:left w:w="39" w:type="dxa"/>
            </w:tcMar>
          </w:tcPr>
          <w:p>
            <w:pPr>
              <w:pStyle w:val="Normal"/>
            </w:pPr>
            <w:r>
              <w:rPr/>
              <w:t>0.00999</w:t>
            </w:r>
            <w:r/>
          </w:p>
        </w:tc>
      </w:tr>
      <w:tr>
        <w:trPr/>
        <w:tc>
          <w:tcPr>
            <w:tcW w:w="3051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fill="auto" w:val="clear"/>
            <w:tcMar>
              <w:left w:w="39" w:type="dxa"/>
            </w:tcMar>
          </w:tcPr>
          <w:p>
            <w:pPr>
              <w:pStyle w:val="TableContents"/>
            </w:pPr>
            <w:r>
              <w:rPr/>
              <w:t>Log</w:t>
            </w:r>
            <w:r>
              <w:rPr>
                <w:vertAlign w:val="subscript"/>
              </w:rPr>
              <w:t>10</w:t>
            </w:r>
            <w:r>
              <w:rPr/>
              <w:t xml:space="preserve"> (size)</w:t>
            </w:r>
            <w:r/>
          </w:p>
        </w:tc>
        <w:tc>
          <w:tcPr>
            <w:tcW w:w="1173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fill="auto" w:val="clear"/>
            <w:tcMar>
              <w:left w:w="39" w:type="dxa"/>
            </w:tcMar>
          </w:tcPr>
          <w:p>
            <w:pPr>
              <w:pStyle w:val="Normal"/>
            </w:pPr>
            <w:r>
              <w:rPr/>
              <w:t>-0.06851</w:t>
            </w:r>
            <w:r/>
          </w:p>
        </w:tc>
        <w:tc>
          <w:tcPr>
            <w:tcW w:w="126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fill="auto" w:val="clear"/>
            <w:tcMar>
              <w:left w:w="39" w:type="dxa"/>
            </w:tcMar>
          </w:tcPr>
          <w:p>
            <w:pPr>
              <w:pStyle w:val="Normal"/>
            </w:pPr>
            <w:r>
              <w:rPr/>
              <w:t>0.02620</w:t>
            </w:r>
            <w:r/>
          </w:p>
        </w:tc>
        <w:tc>
          <w:tcPr>
            <w:tcW w:w="108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fill="auto" w:val="clear"/>
            <w:tcMar>
              <w:left w:w="39" w:type="dxa"/>
            </w:tcMar>
          </w:tcPr>
          <w:p>
            <w:pPr>
              <w:pStyle w:val="Normal"/>
            </w:pPr>
            <w:r>
              <w:rPr/>
              <w:t>-2.615</w:t>
            </w:r>
            <w:r/>
          </w:p>
        </w:tc>
        <w:tc>
          <w:tcPr>
            <w:tcW w:w="225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fill="auto" w:val="clear"/>
            <w:tcMar>
              <w:left w:w="39" w:type="dxa"/>
            </w:tcMar>
          </w:tcPr>
          <w:p>
            <w:pPr>
              <w:pStyle w:val="Normal"/>
            </w:pPr>
            <w:r>
              <w:rPr/>
              <w:t>0.01307</w:t>
            </w:r>
            <w:r/>
          </w:p>
        </w:tc>
      </w:tr>
      <w:tr>
        <w:trPr/>
        <w:tc>
          <w:tcPr>
            <w:tcW w:w="3051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fill="auto" w:val="clear"/>
            <w:tcMar>
              <w:left w:w="39" w:type="dxa"/>
            </w:tcMar>
          </w:tcPr>
          <w:p>
            <w:pPr>
              <w:pStyle w:val="TableContents"/>
            </w:pPr>
            <w:r>
              <w:rPr/>
              <w:t>Kingdom (0=animal, 1=plant)</w:t>
            </w:r>
            <w:r/>
          </w:p>
        </w:tc>
        <w:tc>
          <w:tcPr>
            <w:tcW w:w="1173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fill="auto" w:val="clear"/>
            <w:tcMar>
              <w:left w:w="39" w:type="dxa"/>
            </w:tcMar>
          </w:tcPr>
          <w:p>
            <w:pPr>
              <w:pStyle w:val="Normal"/>
            </w:pPr>
            <w:r>
              <w:rPr/>
              <w:t>0.26825</w:t>
            </w:r>
            <w:r/>
          </w:p>
        </w:tc>
        <w:tc>
          <w:tcPr>
            <w:tcW w:w="126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fill="auto" w:val="clear"/>
            <w:tcMar>
              <w:left w:w="39" w:type="dxa"/>
            </w:tcMar>
          </w:tcPr>
          <w:p>
            <w:pPr>
              <w:pStyle w:val="Normal"/>
            </w:pPr>
            <w:r>
              <w:rPr/>
              <w:t>0.05525</w:t>
            </w:r>
            <w:r/>
          </w:p>
        </w:tc>
        <w:tc>
          <w:tcPr>
            <w:tcW w:w="108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fill="auto" w:val="clear"/>
            <w:tcMar>
              <w:left w:w="39" w:type="dxa"/>
            </w:tcMar>
          </w:tcPr>
          <w:p>
            <w:pPr>
              <w:pStyle w:val="Normal"/>
            </w:pPr>
            <w:r>
              <w:rPr/>
              <w:t>4.855</w:t>
            </w:r>
            <w:r/>
          </w:p>
        </w:tc>
        <w:tc>
          <w:tcPr>
            <w:tcW w:w="225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fill="auto" w:val="clear"/>
            <w:tcMar>
              <w:left w:w="39" w:type="dxa"/>
            </w:tcMar>
          </w:tcPr>
          <w:p>
            <w:pPr>
              <w:pStyle w:val="Normal"/>
            </w:pPr>
            <w:r>
              <w:rPr/>
              <w:t>2.49e-05</w:t>
            </w:r>
            <w:r/>
          </w:p>
        </w:tc>
      </w:tr>
      <w:tr>
        <w:trPr/>
        <w:tc>
          <w:tcPr>
            <w:tcW w:w="3051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fill="auto" w:val="clear"/>
            <w:tcMar>
              <w:left w:w="39" w:type="dxa"/>
            </w:tcMar>
          </w:tcPr>
          <w:p>
            <w:pPr>
              <w:pStyle w:val="TableContents"/>
            </w:pPr>
            <w:r>
              <w:rPr/>
              <w:t>Log</w:t>
            </w:r>
            <w:r>
              <w:rPr>
                <w:vertAlign w:val="subscript"/>
              </w:rPr>
              <w:t>10</w:t>
            </w:r>
            <w:r>
              <w:rPr/>
              <w:t xml:space="preserve"> (size) : Kingdom</w:t>
            </w:r>
            <w:r/>
          </w:p>
        </w:tc>
        <w:tc>
          <w:tcPr>
            <w:tcW w:w="1173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fill="auto" w:val="clear"/>
            <w:tcMar>
              <w:left w:w="39" w:type="dxa"/>
            </w:tcMar>
          </w:tcPr>
          <w:p>
            <w:pPr>
              <w:pStyle w:val="Normal"/>
            </w:pPr>
            <w:r>
              <w:rPr/>
              <w:t>-0.13225</w:t>
            </w:r>
            <w:r/>
          </w:p>
        </w:tc>
        <w:tc>
          <w:tcPr>
            <w:tcW w:w="126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fill="auto" w:val="clear"/>
            <w:tcMar>
              <w:left w:w="39" w:type="dxa"/>
            </w:tcMar>
          </w:tcPr>
          <w:p>
            <w:pPr>
              <w:pStyle w:val="Normal"/>
            </w:pPr>
            <w:r>
              <w:rPr/>
              <w:t>0.06593</w:t>
            </w:r>
            <w:r/>
          </w:p>
        </w:tc>
        <w:tc>
          <w:tcPr>
            <w:tcW w:w="108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fill="auto" w:val="clear"/>
            <w:tcMar>
              <w:left w:w="39" w:type="dxa"/>
            </w:tcMar>
          </w:tcPr>
          <w:p>
            <w:pPr>
              <w:pStyle w:val="Normal"/>
            </w:pPr>
            <w:r>
              <w:rPr/>
              <w:t>-2.006</w:t>
            </w:r>
            <w:r/>
          </w:p>
        </w:tc>
        <w:tc>
          <w:tcPr>
            <w:tcW w:w="225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fill="auto" w:val="clear"/>
            <w:tcMar>
              <w:left w:w="39" w:type="dxa"/>
            </w:tcMar>
          </w:tcPr>
          <w:p>
            <w:pPr>
              <w:pStyle w:val="Normal"/>
            </w:pPr>
            <w:r>
              <w:rPr/>
              <w:t>0.05263</w:t>
            </w:r>
            <w:r/>
          </w:p>
        </w:tc>
      </w:tr>
    </w:tbl>
    <w:p>
      <w:pPr>
        <w:pStyle w:val="Normal"/>
      </w:pPr>
      <w:r>
        <w:rPr/>
        <w:t>Overall F-statistic: 9.773 on 4 and 35 DF,  p-value: 2.042e-05, adjusted R-squared: 0.4736</w:t>
      </w:r>
      <w:r/>
    </w:p>
    <w:sectPr>
      <w:type w:val="nextPage"/>
      <w:pgSz w:w="12240" w:h="15840"/>
      <w:pgMar w:left="1134" w:right="1134" w:header="0" w:top="1134" w:footer="0" w:bottom="1134" w:gutter="0"/>
      <w:pgNumType w:fmt="decimal"/>
      <w:formProt w:val="false"/>
      <w:textDirection w:val="lrTb"/>
      <w:docGrid w:type="default" w:linePitch="312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90"/>
  <w:defaultTabStop w:val="720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ial Unicode MS" w:cs="Arial Unicode MS"/>
        <w:sz w:val="20"/>
        <w:szCs w:val="24"/>
        <w:lang w:val="en-US" w:eastAsia="zh-CN" w:bidi="hi-IN"/>
      </w:rPr>
    </w:rPrDefault>
    <w:pPrDefault>
      <w:pPr/>
    </w:pPrDefault>
  </w:docDefaults>
  <w:style w:type="paragraph" w:styleId="Normal">
    <w:name w:val="Normal"/>
    <w:pPr>
      <w:widowControl w:val="false"/>
      <w:suppressAutoHyphens w:val="true"/>
      <w:overflowPunct w:val="false"/>
      <w:bidi w:val="0"/>
      <w:jc w:val="left"/>
    </w:pPr>
    <w:rPr>
      <w:rFonts w:ascii="Liberation Serif" w:hAnsi="Liberation Serif" w:eastAsia="Arial Unicode MS" w:cs="Arial Unicode MS"/>
      <w:color w:val="00000A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pPr>
      <w:keepNext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TextBody">
    <w:name w:val="Text Body"/>
    <w:basedOn w:val="Normal"/>
    <w:pPr>
      <w:spacing w:lineRule="auto" w:line="288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/>
  </w:style>
  <w:style w:type="paragraph" w:styleId="TableContents">
    <w:name w:val="Table Contents"/>
    <w:basedOn w:val="Normal"/>
    <w:pPr>
      <w:suppressLineNumbers/>
    </w:pPr>
    <w:rPr/>
  </w:style>
  <w:style w:type="paragraph" w:styleId="TableHeading">
    <w:name w:val="Table Heading"/>
    <w:basedOn w:val="TableContents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3823</TotalTime>
  <Application>LibreOffice/4.3.0.4$MacOSX_X86_64 LibreOffice_project/62ad5818884a2fc2e5780dd45466868d41009ec0</Application>
  <Paragraphs>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2014-12-15T14:44:50Z</dcterms:created>
  <dc:creator>Tim Sackton</dc:creator>
  <dc:language>en-US</dc:language>
  <cp:lastModifiedBy>Tim Sackton</cp:lastModifiedBy>
  <dcterms:modified xsi:type="dcterms:W3CDTF">2015-02-16T16:05:51Z</dcterms:modified>
  <cp:revision>181</cp:revision>
</cp:coreProperties>
</file>