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lineRule="auto"/>
        <w:rPr/>
      </w:pPr>
      <w:r w:rsidDel="00000000" w:rsidR="00000000" w:rsidRPr="00000000">
        <w:rPr>
          <w:rtl w:val="0"/>
        </w:rPr>
        <w:t xml:space="preserve">Ovule Number &amp; Reproductive Isolation — Task List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Email thread of 12 January 2026 (Maddie James, Kate Ostevik, Daniel Ortiz-Barrientos, Loren Rieseberg), with carried-over items from the October 2025 meeting.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5f" w:space="2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1. Outstanding analyses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450"/>
        <w:gridCol w:w="1410"/>
        <w:gridCol w:w="3400"/>
        <w:tblGridChange w:id="0">
          <w:tblGrid>
            <w:gridCol w:w="3100"/>
            <w:gridCol w:w="1450"/>
            <w:gridCol w:w="141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Statistically grounded ovule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Kate &amp; Maddie; help from 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 the visual cut-off (100 ovules, log = 2) for the few-vs-many split with a data-driven method (e.g. a breakpoint or model-based threshold). Use Machine Learning to classify too; many new methods that excel at this.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Ovule number vs F1 fertility &amp; 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Kate &amp; Maddie; help from 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was halted once the ovule–RI signal weakened; revisit if the team chooses to keep pursuing ovule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Family-level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Kate &amp; Maddie; help from 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yet run on the new dataset, though it was done on the previous one. Justify in light of statistical approach and biology.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Diversification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offered to spearhead this in October; confirm whether it is still going ahead and at what stage.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1f4e5f" w:space="2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2. Team decisions &amp; coordination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450"/>
        <w:gridCol w:w="1410"/>
        <w:gridCol w:w="3400"/>
        <w:tblGridChange w:id="0">
          <w:tblGrid>
            <w:gridCol w:w="3100"/>
            <w:gridCol w:w="1450"/>
            <w:gridCol w:w="141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Whole-team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the weaker results and agree on direction; Kate and Maddie flagged this as the next step now that the data are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Daniel to explore the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Independent look at the final datasets and code in the shared Drive folder.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Decide path given weaker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Decision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ovule–RI relationship is now marginal/non-significant; only genetic distance predicts RI. Consider merging the crossability dataset with Graeme’s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 Graeme’s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(esp. Kate &amp; Maddie)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the pollen-tube manuscript (paper #1) before advising on a journal.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of Graeme’s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Loren / Graeme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Graeme is editing the pollen-tube chapter into a succinct, high-impact manuscript; confirm current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1f4e5f" w:space="2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3. Publication &amp; manuscripts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450"/>
        <w:gridCol w:w="1410"/>
        <w:gridCol w:w="3400"/>
        <w:tblGridChange w:id="0">
          <w:tblGrid>
            <w:gridCol w:w="3100"/>
            <w:gridCol w:w="1450"/>
            <w:gridCol w:w="141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f4e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Choose submission target for Graeme’s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Decision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Graeme suggested PNAS first, then Current Biology, Nature Ecology &amp; Evolution, or Proc. B. Decide after reading the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Ovule-number references / draft of paper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ef3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Outstanding from the October thread – references and a circulating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Drive crossability work toward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f6f4a"/>
                <w:sz w:val="20"/>
                <w:szCs w:val="20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intends to push the work to a publication over the coming months regardless of the final pattern.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bottom w:color="1f4e5f" w:space="2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Already completed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For context, the following are done and need no further action unless the team revisits the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datasets assembled – 110 phylogenetically independent crosses selected from 578 total, chosen to maximise species coverage while avoiding shared evolutionary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Genetic distances computed for the phylogenetically independent crosses.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PGLS pipeline running – base model (RI ~ ovule number, Brownian motion) and full model with all covariates (genetic distance, mating system, life history, RI measure).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Ovule number tested as both a continuous and a categorical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RI-type subsets analysed (pollen competition and seed set).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Asymmetrical (directional) RI tested – maternal ovule number as a predictor when each species was the female parent.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 evolutionary models compared via phylolm (Brownian, Ornstein–Uhlenbeck, lambda, delta, kappa).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