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VNT METALx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AlperYasak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3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28-12-2022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YENİ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Q-3-2022-3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aciklama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225*225*25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RG7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1783.361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3566.722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aciklama 2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225*12*12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RG7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1181.885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2363.77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5930.492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VNTFT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asd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369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6299.492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asda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sd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asd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asd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ads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asd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REV0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