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rFonts w:ascii="Arial Narrow" w:hAnsi="Arial Narrow" w:eastAsia="Arial Narrow"/>
          <w:b w:val="0"/>
          <w:i/>
          <w:color w:val="000000"/>
          <w:sz w:val="18"/>
        </w:rPr>
        <w:t xml:space="preserve">Akyol Özcan K. (2023). Borsa endeksi yönünün makine öğrenmesi yöntemleri ile tahmini: bist 100 örneği. Gümüşhane Üniversitesi Sosyal Bilimler </w:t>
      </w:r>
      <w:r>
        <w:rPr>
          <w:rFonts w:ascii="Arial Narrow" w:hAnsi="Arial Narrow" w:eastAsia="Arial Narrow"/>
          <w:b w:val="0"/>
          <w:i/>
          <w:color w:val="000000"/>
          <w:sz w:val="18"/>
        </w:rPr>
        <w:t xml:space="preserve">Dergisi, 14(3), 1001-1018. </w:t>
      </w:r>
    </w:p>
    <w:p>
      <w:pPr>
        <w:autoSpaceDN w:val="0"/>
        <w:autoSpaceDE w:val="0"/>
        <w:widowControl/>
        <w:spacing w:line="240" w:lineRule="auto" w:before="268" w:after="0"/>
        <w:ind w:left="0" w:right="0" w:firstLine="0"/>
        <w:jc w:val="center"/>
      </w:pPr>
      <w:r>
        <w:rPr>
          <w:rFonts w:ascii="Arial Narrow" w:hAnsi="Arial Narrow" w:eastAsia="Arial Narrow"/>
          <w:b/>
          <w:i w:val="0"/>
          <w:color w:val="000000"/>
          <w:sz w:val="34"/>
        </w:rPr>
        <w:t xml:space="preserve">Borsa Endeksi Yönünün Makine Öğrenmesi Yöntemleri ile Tahmini: </w:t>
      </w: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rPr>
          <w:rFonts w:ascii="Arial Narrow" w:hAnsi="Arial Narrow" w:eastAsia="Arial Narrow"/>
          <w:b/>
          <w:i w:val="0"/>
          <w:color w:val="000000"/>
          <w:sz w:val="34"/>
        </w:rPr>
        <w:t xml:space="preserve">BIST 100 Örneği </w:t>
      </w:r>
    </w:p>
    <w:p>
      <w:pPr>
        <w:autoSpaceDN w:val="0"/>
        <w:autoSpaceDE w:val="0"/>
        <w:widowControl/>
        <w:spacing w:line="240" w:lineRule="auto" w:before="122" w:after="0"/>
        <w:ind w:left="0" w:right="0" w:firstLine="0"/>
        <w:jc w:val="center"/>
      </w:pPr>
      <w:r>
        <w:rPr>
          <w:rFonts w:ascii="Arial Narrow" w:hAnsi="Arial Narrow" w:eastAsia="Arial Narrow"/>
          <w:b/>
          <w:i w:val="0"/>
          <w:color w:val="000000"/>
          <w:sz w:val="26"/>
        </w:rPr>
        <w:t xml:space="preserve">Prediction of Stock Market Index Direction with Machine Learning Methods: Sample of BIST </w:t>
      </w:r>
    </w:p>
    <w:p>
      <w:pPr>
        <w:autoSpaceDN w:val="0"/>
        <w:autoSpaceDE w:val="0"/>
        <w:widowControl/>
        <w:spacing w:line="240" w:lineRule="auto" w:before="494" w:after="0"/>
        <w:ind w:left="0" w:right="0" w:firstLine="0"/>
        <w:jc w:val="center"/>
      </w:pPr>
      <w:r>
        <w:rPr>
          <w:rFonts w:ascii="Arial Narrow" w:hAnsi="Arial Narrow" w:eastAsia="Arial Narrow"/>
          <w:b/>
          <w:i w:val="0"/>
          <w:color w:val="000000"/>
          <w:sz w:val="22"/>
        </w:rPr>
        <w:t>Kübra Akyol Özcan</w:t>
      </w:r>
      <w:r>
        <w:rPr>
          <w:rFonts w:ascii="Arial Narrow" w:hAnsi="Arial Narrow" w:eastAsia="Arial Narrow"/>
          <w:b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40" w:lineRule="auto" w:before="490" w:after="0"/>
        <w:ind w:left="28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Öz </w:t>
      </w:r>
    </w:p>
    <w:p>
      <w:pPr>
        <w:autoSpaceDN w:val="0"/>
        <w:autoSpaceDE w:val="0"/>
        <w:widowControl/>
        <w:spacing w:line="245" w:lineRule="auto" w:before="120" w:after="0"/>
        <w:ind w:left="28" w:right="20" w:firstLine="0"/>
        <w:jc w:val="both"/>
      </w:pP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Borsa endeksleri ve menkul kıymetler için yön (artış veya azalış) tahmininde bulunmak yatırımcıların ve araştırmacıların uzun zamandır 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dikkatini çekmektedir. Geçmiş verilerle gelecek veriler arasındaki bağlantının kurulması bu tahmini zorlaştırmaktadır.  Söz konusu 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bağlantı ekonometrik modeller veya yapay zekâ modelleri yardımıyla kurulmaktadır. Yapay zekâ modelleri ekonometrik modeller gibi 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katı varsayımlar gerektirmez, nitel ve nicel verileri kullanabilir. Bu çalışmada Ocak 2002 - Eylül 2022 tarihleri arasında aylık ortalama 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BIST 100 endeks değerleri alınarak, bir önceki aya göre artış gerçekleşen durumlar için “1”, azalış gerçekleşen durumlar için “0” 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şeklinde iki gruplu bir bağımlı değişken oluşturulmuştur. BIST 100, S&amp;P 500, CAC40, FTSE10, NIKKEI225DAX, SHANGAICOMP, 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ONSUSD, USDTRY, VIX ve REPO değişkenlerinin 1. ve 2. gecikmeli değerleri bağımsız değişken olarak alınmıştır. Uygulamada BIST 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100 endeksi için yön tahmininde Lojistik Regresyon Analizi (LR), Lineer Diskriminant Analizi (LDA), Naive Bayes Algoritması (NB), 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Rastgele orman Algoritması (RF), K-En Yakın Komşu Algoritması (KNN), Sınıflandırma ve Regresyon Ağacı Algoritması (CART), 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Yapay Sinir Ağları (NNET), Gauss Çekirdek Fonksiyonu ile Destek Vektör Makineleri (SVM-RBF), Polinomiyal Çekirdek Fonksiyonu 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ile Destek Vektör Makineleri (SVM-POLY) olmak üzere toplam dokuz farklı makine öğrenme metodu kullanılmıştır. Sonuç olarak lineer 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yöntemlerin daha başarılı tahmin sonuçları ürettiği görülmektedir. </w:t>
      </w:r>
    </w:p>
    <w:p>
      <w:pPr>
        <w:autoSpaceDN w:val="0"/>
        <w:autoSpaceDE w:val="0"/>
        <w:widowControl/>
        <w:spacing w:line="240" w:lineRule="auto" w:before="122" w:after="0"/>
        <w:ind w:left="74" w:right="0" w:firstLine="0"/>
        <w:jc w:val="left"/>
      </w:pPr>
      <w:r>
        <w:rPr>
          <w:rFonts w:ascii="Arial Narrow" w:hAnsi="Arial Narrow" w:eastAsia="Arial Narrow"/>
          <w:b/>
          <w:i/>
          <w:color w:val="000000"/>
          <w:sz w:val="20"/>
        </w:rPr>
        <w:t>Anahtar Kelimeler: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 BIST 100, Makine Öğrenmesi, Borsa Endeksleri, Endeks tahmini, </w:t>
      </w:r>
    </w:p>
    <w:p>
      <w:pPr>
        <w:autoSpaceDN w:val="0"/>
        <w:autoSpaceDE w:val="0"/>
        <w:widowControl/>
        <w:spacing w:line="240" w:lineRule="auto" w:before="494" w:after="0"/>
        <w:ind w:left="28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Abstract </w:t>
      </w:r>
    </w:p>
    <w:p>
      <w:pPr>
        <w:autoSpaceDN w:val="0"/>
        <w:autoSpaceDE w:val="0"/>
        <w:widowControl/>
        <w:spacing w:line="245" w:lineRule="auto" w:before="118" w:after="0"/>
        <w:ind w:left="28" w:right="0" w:firstLine="0"/>
        <w:jc w:val="left"/>
      </w:pP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Predicting the direction (increase or decrease) of stock market indexes and stock prices has long attracted the attention of investors 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and researchers. Establishing a connection between the past and future data makes this prediction difficult. The mentioned connection 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is established through econometric or neural network models. Neural network models do not require strict assumptions like 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econometric models and can utilize qualitative and quantitative data. In this study, monthly average BIST 100 index values were taken 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between January 2002 and September 2022, and a two-group dependent variable was formed as “1” for cases with an increase 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compared to the previous month and “0” for cases with a decrease. The 1st and 2nd lagged values of BIST 100, S&amp;P 500, CAC40, 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FTSE10, NIKKEI225DAX, SHANGAICOMP, ONSUSD, USDTRY, VIX and REPO variables were taken as independent variables. A 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total of nine different machine learning methods which are Logistic Regression Analysis (LR), Linear Discriminant Analysis (LDA), 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Naive Bayes Algorithm (NB), Random Forests Algorithm (RF), K-Nearest Neighborhood Algorithm (KNN), Classification and 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>Regression Trees Algorithm (CART), Artificial Neural Networks (NNET), Support Vector Machines with Radial Basis Function (SVM-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RBF), Support Vector Machines with Polynomial Kernel Function (SVM-POLY) were used for direction prediction for BIST 100 index 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in practice. In conclusion, it is observed that linear methods produce more successful estimation results. </w:t>
      </w:r>
    </w:p>
    <w:p>
      <w:pPr>
        <w:autoSpaceDN w:val="0"/>
        <w:autoSpaceDE w:val="0"/>
        <w:widowControl/>
        <w:spacing w:line="240" w:lineRule="auto" w:before="470" w:after="0"/>
        <w:ind w:left="28" w:right="0" w:firstLine="0"/>
        <w:jc w:val="left"/>
      </w:pPr>
      <w:r>
        <w:rPr>
          <w:rFonts w:ascii="Arial Narrow" w:hAnsi="Arial Narrow" w:eastAsia="Arial Narrow"/>
          <w:b/>
          <w:i/>
          <w:color w:val="2B2B2B"/>
          <w:sz w:val="20"/>
        </w:rPr>
        <w:t>Keywords:</w:t>
      </w:r>
      <w:r>
        <w:rPr>
          <w:rFonts w:ascii="Arial Narrow" w:hAnsi="Arial Narrow" w:eastAsia="Arial Narrow"/>
          <w:b w:val="0"/>
          <w:i/>
          <w:color w:val="2B2B2B"/>
          <w:sz w:val="20"/>
        </w:rPr>
        <w:t xml:space="preserve"> BIST 100, Machine Learning,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 S</w:t>
      </w:r>
      <w:r>
        <w:rPr>
          <w:rFonts w:ascii="Arial Narrow" w:hAnsi="Arial Narrow" w:eastAsia="Arial Narrow"/>
          <w:b w:val="0"/>
          <w:i/>
          <w:color w:val="2B2B2B"/>
          <w:sz w:val="20"/>
        </w:rPr>
        <w:t xml:space="preserve">tock Market Indexes, Market Forecast </w:t>
      </w:r>
    </w:p>
    <w:p>
      <w:pPr>
        <w:autoSpaceDN w:val="0"/>
        <w:autoSpaceDE w:val="0"/>
        <w:widowControl/>
        <w:spacing w:line="240" w:lineRule="auto" w:before="122" w:after="0"/>
        <w:ind w:left="28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Araştırma Makalesi [Research Paper] </w:t>
      </w:r>
    </w:p>
    <w:p>
      <w:pPr>
        <w:autoSpaceDN w:val="0"/>
        <w:autoSpaceDE w:val="0"/>
        <w:widowControl/>
        <w:spacing w:line="242" w:lineRule="auto" w:before="470" w:after="660"/>
        <w:ind w:left="28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0"/>
        </w:rPr>
        <w:t>JEL Codes:</w:t>
      </w:r>
      <w:r>
        <w:rPr>
          <w:rFonts w:ascii="Arial Narrow" w:hAnsi="Arial Narrow" w:eastAsia="Arial Narrow"/>
          <w:b w:val="0"/>
          <w:i/>
          <w:color w:val="000000"/>
          <w:sz w:val="20"/>
        </w:rPr>
        <w:t xml:space="preserve">C51, C52, C61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4867"/>
        <w:gridCol w:w="4867"/>
      </w:tblGrid>
      <w:tr>
        <w:trPr>
          <w:trHeight w:hRule="exact" w:val="270"/>
        </w:trPr>
        <w:tc>
          <w:tcPr>
            <w:tcW w:type="dxa" w:w="10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0" w:right="0" w:firstLine="0"/>
              <w:jc w:val="center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0"/>
              </w:rPr>
              <w:t xml:space="preserve">Submitted: </w:t>
            </w:r>
          </w:p>
        </w:tc>
        <w:tc>
          <w:tcPr>
            <w:tcW w:type="dxa" w:w="18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9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22 / 06 / 2023 </w:t>
            </w:r>
          </w:p>
        </w:tc>
      </w:tr>
      <w:tr>
        <w:trPr>
          <w:trHeight w:hRule="exact" w:val="1810"/>
        </w:trPr>
        <w:tc>
          <w:tcPr>
            <w:tcW w:type="dxa" w:w="2882"/>
            <w:gridSpan w:val="2"/>
            <w:tcBorders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30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0"/>
              </w:rPr>
              <w:t xml:space="preserve">Accepted:  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12 / 09 / 2023 </w:t>
            </w:r>
          </w:p>
        </w:tc>
      </w:tr>
    </w:tbl>
    <w:p>
      <w:pPr>
        <w:autoSpaceDN w:val="0"/>
        <w:autoSpaceDE w:val="0"/>
        <w:widowControl/>
        <w:spacing w:line="242" w:lineRule="auto" w:before="108" w:after="0"/>
        <w:ind w:left="28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12"/>
        </w:rPr>
        <w:t>1</w:t>
      </w:r>
      <w:r>
        <w:rPr>
          <w:rFonts w:ascii="Arial Narrow" w:hAnsi="Arial Narrow" w:eastAsia="Arial Narrow"/>
          <w:b w:val="0"/>
          <w:i w:val="0"/>
          <w:color w:val="000000"/>
          <w:sz w:val="18"/>
        </w:rPr>
        <w:t xml:space="preserve"> Dr. Arş. Gör, Bayburt Üniversitesi, Bayburt, Türkiye,</w:t>
      </w:r>
      <w:r>
        <w:rPr>
          <w:rFonts w:ascii="Arial Narrow" w:hAnsi="Arial Narrow" w:eastAsia="Arial Narrow"/>
          <w:b w:val="0"/>
          <w:i w:val="0"/>
          <w:color w:val="000000"/>
          <w:sz w:val="18"/>
        </w:rPr>
        <w:hyperlink r:id="rId9" w:history="1">
          <w:r>
            <w:rPr>
              <w:rStyle w:val="Hyperlink"/>
            </w:rPr>
            <w:t xml:space="preserve"> kubraakyol@bayburt.edu.tr 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18"/>
        </w:rPr>
        <w:t>, Orcid No:</w:t>
      </w:r>
      <w:r>
        <w:rPr>
          <w:rFonts w:ascii="Arial Narrow" w:hAnsi="Arial Narrow" w:eastAsia="Arial Narrow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 xml:space="preserve"> https://orcid.org/0000-0002-1158-7017 </w:t>
          </w:r>
        </w:hyperlink>
      </w:r>
    </w:p>
    <w:p>
      <w:pPr>
        <w:sectPr>
          <w:pgSz w:w="11906" w:h="16838"/>
          <w:pgMar w:top="282" w:right="1068" w:bottom="566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2" w:firstLine="0"/>
        <w:jc w:val="right"/>
      </w:pP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[ GUSBID ] Gümüşhane Üniversitesi Sosyal Bilimler Dergisi, Yıl: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2023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Cilt: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14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>Sayı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>: 3</w:t>
      </w:r>
    </w:p>
    <w:p>
      <w:pPr>
        <w:autoSpaceDN w:val="0"/>
        <w:autoSpaceDE w:val="0"/>
        <w:widowControl/>
        <w:spacing w:line="240" w:lineRule="auto" w:before="218" w:after="0"/>
        <w:ind w:left="0" w:right="0" w:firstLine="0"/>
        <w:jc w:val="left"/>
      </w:pPr>
      <w:r>
        <w:rPr>
          <w:rFonts w:ascii="Arial Narrow" w:hAnsi="Arial Narrow" w:eastAsia="Arial Narrow"/>
          <w:b/>
          <w:i w:val="0"/>
          <w:color w:val="2B2B2B"/>
          <w:sz w:val="22"/>
        </w:rPr>
        <w:t xml:space="preserve">Giriş </w:t>
      </w:r>
    </w:p>
    <w:p>
      <w:pPr>
        <w:autoSpaceDN w:val="0"/>
        <w:autoSpaceDE w:val="0"/>
        <w:widowControl/>
        <w:spacing w:line="245" w:lineRule="auto" w:before="122" w:after="0"/>
        <w:ind w:left="0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Menkul kıymetlerin değerlerinin yönünü tahmin etmek amacıyla çeşitli yaklaşımlar oluşturulmuştur. Bu bağlamda borsa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tahmini hem ilginç hem de zorlu bir araştırma konusu olarak karşımıza çıkmaktadır. (Nasseri vd., 2015: 9192) Başarılı bir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borsa tahmini için ana fikir minimum girdi ve en az karmaşık model seçimi ile en başarılı sonuçları elde etmektir. (Atsalakis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ve Valavanis, 2009: 5932) Son zamanlarda yapılan araştırmalar diğer makroekonomik ve finansal değişkenlerden alınan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verilerin yanı sıra önceki borsa hareketlerinden elde edilen verileri kullanarak gelecekte borsanın yönünü tahmin etmenin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mümkün olduğuna dair kanıtlar içermektedir. Araştırmacılar borsanın öngörülebilir sonuçlar sağlaması nedeniyle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öngörülebilirliğin nedenlerini incelemeye yönelmişlerdir. Hisse senetlerinin gelecekteki fiyatlarının tahmini siyasi olaylar,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ekonomik koşullar, yatırımcı beklentileri ve hisse senedi fiyatlarını etkileyebilecek diğer çevresel faktörler gibi çok fazla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faktörden etkilenmesi nedeniyle oldukça karmaşık ve zor bir meseledir. Buna ek olarak hisse senedi fiyat serileri doğası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gereği genellikle oldukça dalgalı, değişken, doğrusal olmayan, parametrik olmayan, karmaşık ve kaotik bir veri yapısına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sahiptir (Boyacioglu ve Avci, 2010: 7908). </w:t>
      </w:r>
    </w:p>
    <w:p>
      <w:pPr>
        <w:autoSpaceDN w:val="0"/>
        <w:autoSpaceDE w:val="0"/>
        <w:widowControl/>
        <w:spacing w:line="245" w:lineRule="auto" w:before="118" w:after="0"/>
        <w:ind w:left="0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Spekülatörlerin, yatırımcıların ve işletmelerin karşılaştığı en büyük zorluk finans ve emtia piyasalarındaki fiyat hareketlerini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doğru bir şekilde tahmin etmektir. Bunlar, piyasaları tahmin etme arayışında gelecekteki olayların en azından kısmen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mevcut veya geçmiş olaylara ve verilere dayandığını varsayarlar. Ancak finansal zaman serileri, tahmin edilmesi “en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gürültülü” ve “en zor” seriler arasındadır. (Abu-Mostafa ve Atiya, 1996: 205) Hisse senedi fiyat endeksinin hareketini tahmin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etmek, zaman serisi tahmininin en zor uygulamalarından biri olarak kabul edilmektedir. Etkili piyasa alım satım tekniklerini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oluşturmak için hisse senedi fiyat endekslerinin hareketini doğru bir şekilde tahmin etmek oldukça önemlidir. (Kara vd.,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2011: 5311) Son yıllarda bilgisayar yazılım ve donanım teknolojilerindeki ilerlemeler hesaba dayalı finansı mümkün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kılmıştır. Hesaba dayalı araçların finansal alanda uygulanması, büyük kârlar ve para çekme potansiyeli nedeniyle ilgi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görmektedir. Sonuç olarak hesaba dayalı finans önemli oranda ilgi kazanarak, çok disiplinli araştırma çabalarını teşvik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etmiştir. Hesaba dayalı finans, akıllı araçların finansal görevlere uygulanmasının yanı sıra bilgisayar teknolojisi kullanılarak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geleneksel tekniklerin geliştirilmesini de içeren matematik, ekonomi ve büyük ölçekli sayısal hesaplamaların bir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entegrasyonunu oluşturmuştur. Bu finansal uygulamalar; alım-satım stratejileri, risk ve finansal yönetim, operasyon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yönetimi, pazarlama, kredi riski, türev fiyatlandırması, tahmin, karar desteği, opsiyon fiyatlandırması, finansal piyasa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modellemesi, arbitraj, portföy seçimi, kredi değerlendirmesi ve çok daha fazlasını içermektedir. (Tan vd., 2007: 236)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Finansal zaman serileri gürültülü (noisy), durağan olmayan ve deterministik olarak kaotik olduğundan, finansal piyasa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tahminini zorlaştırmaktadır. Gürültülü olma özelliği geçmişteki ve gelecekteki fiyatlar arasındaki bağlantıyı tam olarak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açıklamada yeterli finansal piyasa davranışı verilerinin olmamasını ifade etmektedir. Dolayısıyla modelde yer almayan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bilgiler gürültü olarak kabul edilmektedir. Finansal zaman serilerinin dağılımı durağan değildir. Ekonomik veya politik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koşullar, tüccarın beklentileri, felaket veya çatışma gibi öngörülemeyen olaylar da dâhil olmak üzere birçok faktör borsa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endeksi ve döviz kurları gibi finansal zaman serilerini değiştirebilir. Herhangi bir finansal zaman serisi ile diğer veri serileri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arasındaki ilişki de zaman içinde değişebilir (Kumar ve Thenmozhi, 2006: 2). </w:t>
      </w:r>
    </w:p>
    <w:p>
      <w:pPr>
        <w:autoSpaceDN w:val="0"/>
        <w:autoSpaceDE w:val="0"/>
        <w:widowControl/>
        <w:spacing w:line="245" w:lineRule="auto" w:before="120" w:after="0"/>
        <w:ind w:left="0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Bir borsa endeksinin getirisini tahmin etmenin zor olan yönü geçmiş veriler ile gelecek arasında bağlantı kurmaktır. Bu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bağlantı literatürde genellikle iki araştırma alanı tarafından ele alınmaktadır. Bunlardan birincisi ekonometrik modellerdir.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Bu modeller doğrusal regresyon, AR, ARMA, ARCH ve GARCH gibi modelleri içermektedir. Bu modellerin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uygulanmasındaki kilit nokta sonuçların kalitesini ve güvenilirliğini garanti etmek için bir finansal serinin yerine getirmesi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gereken varsayımlara bağlıdır. İkincisi ise makine öğrenme modelleridir. Yapay zekâ tabanlı olan bu modeller yapay sinir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ağları, genetik algoritmalar, bulanık mantık, destek vektör makineleri, rastgele orman yöntemi ve parçacık sürü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optimizasyonu gibi modelleri içermektedir. Karmaşık, kesin olmayan ve çok büyük miktarda veriyi işleyebilirler ve bu da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onları ilgi çekici hale getirmektedir. Ayrıca diğer modellere uygulandıklarında veri özelliklerinin anlamını belirsizleştirirler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ve bilgi erişimini sınırlandırırlar. Yapay zekâ yöntemleri nitel ve nicel verileri kullanabilirler ve ekonometrik modeller gibi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katı varsayımlar gerektirmezler (Paiva vd., 2019: 636; Sheta vd., 2015: 55). </w:t>
      </w:r>
    </w:p>
    <w:p>
      <w:pPr>
        <w:autoSpaceDN w:val="0"/>
        <w:autoSpaceDE w:val="0"/>
        <w:widowControl/>
        <w:spacing w:line="245" w:lineRule="auto" w:before="120" w:after="0"/>
        <w:ind w:left="0" w:right="28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Tahmin için kullanılan geleneksel istatistiksel teknikler verilerin doğrusal olmadığı uygulamalarda eksik kalmaktadır. Bir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yapay sinir ağı, bağlantılarla birbirine bağlanan çok sayıda basit ve doğrusal olmayan bilgi işlem birimini veya düğümünü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içeren bir bilgisayar sistemi türüdür. Bu, borsa analizinin kalıplarını tanımak ve optimizasyonu sağlamak için denenmiş ve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doğrulanmış bir yöntemdir. Dolayısıyla borsaların nasıl çalıştığını doğru bir şekilde açıklayan doğrusal olmayan zaman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serisi verilerinin kodunun, sinir ağları tarafından çözüldüğü kanıtlanmıştır (Zhu vd., 2008: 3043). </w:t>
      </w:r>
    </w:p>
    <w:p>
      <w:pPr>
        <w:autoSpaceDN w:val="0"/>
        <w:autoSpaceDE w:val="0"/>
        <w:widowControl/>
        <w:spacing w:line="238" w:lineRule="auto" w:before="116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Bu çalışma BIST 100 endeksi yönünün 01:2002-09:2022 arası döneme ait aylık verilerle makine öğrenmesi metodları </w:t>
      </w:r>
    </w:p>
    <w:p>
      <w:pPr>
        <w:autoSpaceDN w:val="0"/>
        <w:autoSpaceDE w:val="0"/>
        <w:widowControl/>
        <w:spacing w:line="240" w:lineRule="auto" w:before="38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kullanılarak tahminini amaçlamaktadır. Bunun için öncelikle BIST 100 endeks değerleri alınarak, bir önceki aya göre artış </w:t>
      </w:r>
    </w:p>
    <w:p>
      <w:pPr>
        <w:autoSpaceDN w:val="0"/>
        <w:autoSpaceDE w:val="0"/>
        <w:widowControl/>
        <w:spacing w:line="240" w:lineRule="auto" w:before="36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gerçekleşen durumlar için “1”, azalış gerçekleşen durumlar için “0” şeklinde iki gruplu bir bağımlı değişken oluşturulmuştur. </w:t>
      </w:r>
    </w:p>
    <w:p>
      <w:pPr>
        <w:autoSpaceDN w:val="0"/>
        <w:autoSpaceDE w:val="0"/>
        <w:widowControl/>
        <w:spacing w:line="238" w:lineRule="auto" w:before="38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Çalışmada Lojistik Regresyon Analizi (LR), Lineer Diskriminant Analizi (LDA), Naive Bayes Algoritması (NB), Rastgele </w:t>
      </w:r>
    </w:p>
    <w:p>
      <w:pPr>
        <w:autoSpaceDN w:val="0"/>
        <w:autoSpaceDE w:val="0"/>
        <w:widowControl/>
        <w:spacing w:line="238" w:lineRule="auto" w:before="38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orman Algoritması (RF), K-En Yakın Komşu Algoritması (KNN), Sınıflandırma ve Regresyon Ağacı Algoritması (CART), </w:t>
      </w:r>
    </w:p>
    <w:p>
      <w:pPr>
        <w:autoSpaceDN w:val="0"/>
        <w:autoSpaceDE w:val="0"/>
        <w:widowControl/>
        <w:spacing w:line="240" w:lineRule="auto" w:before="38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Yapay Sinir Ağları (NNET), Gauss Çekirdek Fonksiyonu ile Destek Vektör Makineleri (SVM-RBF), Polinomiyal Çekirdek </w:t>
      </w:r>
    </w:p>
    <w:p>
      <w:pPr>
        <w:autoSpaceDN w:val="0"/>
        <w:autoSpaceDE w:val="0"/>
        <w:widowControl/>
        <w:spacing w:line="238" w:lineRule="auto" w:before="464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1002 </w:t>
      </w:r>
    </w:p>
    <w:p>
      <w:pPr>
        <w:sectPr>
          <w:pgSz w:w="11906" w:h="16838"/>
          <w:pgMar w:top="342" w:right="1062" w:bottom="284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2" w:firstLine="0"/>
        <w:jc w:val="right"/>
      </w:pP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[ GUSBID ] Gümüşhane Üniversitesi Sosyal Bilimler Dergisi, Yıl: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2023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Cilt: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14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>Sayı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>: 3</w:t>
      </w:r>
    </w:p>
    <w:p>
      <w:pPr>
        <w:autoSpaceDN w:val="0"/>
        <w:autoSpaceDE w:val="0"/>
        <w:widowControl/>
        <w:spacing w:line="240" w:lineRule="auto" w:before="216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Fonksiyonu ile Destek Vektör Makineleri (SVM-POLY) olmak üzere toplam dokuz farklı makine öğrenme metodu </w:t>
      </w:r>
    </w:p>
    <w:p>
      <w:pPr>
        <w:autoSpaceDN w:val="0"/>
        <w:autoSpaceDE w:val="0"/>
        <w:widowControl/>
        <w:spacing w:line="240" w:lineRule="auto" w:before="36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kullanılmıştır. Çalışmanın birinci bölümünde hisse senedi piyasalarında fiyat tahminin önemi üzerinde durulmuştur. İkinci </w:t>
      </w:r>
    </w:p>
    <w:p>
      <w:pPr>
        <w:autoSpaceDN w:val="0"/>
        <w:autoSpaceDE w:val="0"/>
        <w:widowControl/>
        <w:spacing w:line="238" w:lineRule="auto" w:before="38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bölümde alan yazını sunulmuş, üçüncü bölümde veri seti ve metodoloji hakkında bilgilere yer verilmiş ve analiz sonuçları </w:t>
      </w:r>
    </w:p>
    <w:p>
      <w:pPr>
        <w:autoSpaceDN w:val="0"/>
        <w:autoSpaceDE w:val="0"/>
        <w:widowControl/>
        <w:spacing w:line="238" w:lineRule="auto" w:before="38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yorumlanmıştır. Son bölümde ise analiz sonuçları sunularak çalışma tamamlanmıştır. Çalışmada alan yazınındaki </w:t>
      </w:r>
    </w:p>
    <w:p>
      <w:pPr>
        <w:autoSpaceDN w:val="0"/>
        <w:autoSpaceDE w:val="0"/>
        <w:widowControl/>
        <w:spacing w:line="240" w:lineRule="auto" w:before="38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çalışmalardan daha fazla sayıda (dokuz farklı) makine öğrenme metodu kullanılmış ve nihai olarak hangi methodun BIST </w:t>
      </w:r>
    </w:p>
    <w:p>
      <w:pPr>
        <w:autoSpaceDN w:val="0"/>
        <w:autoSpaceDE w:val="0"/>
        <w:widowControl/>
        <w:spacing w:line="240" w:lineRule="auto" w:before="36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>100 endeksi tahmininde daha başarılı tahmin yöntemi olduğu ortaya konulmuştur.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Bu yönüyle çalışmanın literatüre değer </w:t>
      </w:r>
    </w:p>
    <w:p>
      <w:pPr>
        <w:autoSpaceDN w:val="0"/>
        <w:autoSpaceDE w:val="0"/>
        <w:widowControl/>
        <w:spacing w:line="240" w:lineRule="auto" w:before="36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katacağı düşünülmektedir. </w:t>
      </w:r>
    </w:p>
    <w:p>
      <w:pPr>
        <w:autoSpaceDN w:val="0"/>
        <w:autoSpaceDE w:val="0"/>
        <w:widowControl/>
        <w:spacing w:line="238" w:lineRule="auto" w:before="532" w:after="0"/>
        <w:ind w:left="0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2"/>
        </w:rPr>
        <w:t>1.</w:t>
      </w: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Literatür </w:t>
      </w:r>
    </w:p>
    <w:p>
      <w:pPr>
        <w:autoSpaceDN w:val="0"/>
        <w:autoSpaceDE w:val="0"/>
        <w:widowControl/>
        <w:spacing w:line="245" w:lineRule="auto" w:before="122" w:after="0"/>
        <w:ind w:left="0" w:right="24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Hill vd. (1994) çalışmalarında özellikle regresyona dayalı tahmin, zaman serisi tahmini ve karar verme alanlarında yapay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sinir ağları ile istatistiksel modelleri karşılaştıran literatür taraması yapmışlardır. Yazarların nihai hedefi, tahmin ve karar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verme modelleri için yapay sinir ağlarının potansiyelinin değerlendirmesini yapmaktır. Literatür araştırması sonucuna göre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ampirik çalışmaların büyük çoğunluğu yapay sinir ağlarının istatistiksel modellerle karşılaştırılabilir olduğu yönündedir. </w:t>
      </w:r>
    </w:p>
    <w:p>
      <w:pPr>
        <w:autoSpaceDN w:val="0"/>
        <w:autoSpaceDE w:val="0"/>
        <w:widowControl/>
        <w:spacing w:line="245" w:lineRule="auto" w:before="118" w:after="0"/>
        <w:ind w:left="0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Khashei ve Bijari (2010) çalışmalarında otoregresif entegre hareketli ortalama (ARIMA) modellerini kullanarak yapay sinir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ağlarının yeni bir hibrit modelini uygulamışlardır. Çalışmada üç farklı veri seti kullanılmıştır. Bunlar; Wolf’un güneş lekesi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verileri, Kanada vaşağı verileri ve İngiliz sterlini/ABD doları döviz kuru verileridir. Çalışma sonucunda elde edilen ampirik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sonuçlar, önerilen modelin yapay sinir ağları tarafından elde edilen tahmin doğruluğunu iyileştirmek için etkili bir yol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olabileceğini göstermiştir. Bu nedenle özellikle daha yüksek tahmin doğruluğuna ihtiyaç duyulduğunda, tahmin görevi için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uygun bir alternatif model olarak kullanılması mümkündür. </w:t>
      </w:r>
    </w:p>
    <w:p>
      <w:pPr>
        <w:autoSpaceDN w:val="0"/>
        <w:autoSpaceDE w:val="0"/>
        <w:widowControl/>
        <w:spacing w:line="245" w:lineRule="auto" w:before="118" w:after="0"/>
        <w:ind w:left="0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Guresen vd. (2011) çalışmalarında çok katmanlı algılayıcı (MLP), dinamik yapay sinir ağı (DAN2) ve yeni girdi değişkenleri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çıkarmak için genelleştirilmiş otoregresif koşullu değişen varyans (GARCH) kullanan hibrit sinir ağları modellerini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kullanmışlardır. Her model için karşılaştırma iki bakış açısıyla yapılmıştır. Bunlar; NASDAQ Menkul Kıymetler Borsası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Endeksi’nin günlük reel kur değerleri kullanılarak Ortalama Kare Hata (MSE) ve Ortalama Mutlak Sapma (MAD)’dır.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Çalışmada 7 Ekim 2008 ile 26 haziran 2009 arası döneme ait günlük verilerin 146 adedi eğitim için kullanılırken, 36 tanesi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ise test amacıyla kullanılmıştır. Klasik YSA modeli MLP’nin küçük bir farkla DAN2 ve GARCH-MLP’den daha iyi performans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gösterdiği sonucuna ulaşılmıştır. Hibrit modellerin (GARCH-ANN) tatmin edici sonuçlar vermediği de bir başka bulgu olarak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sunulmuştur. </w:t>
      </w:r>
    </w:p>
    <w:p>
      <w:pPr>
        <w:autoSpaceDN w:val="0"/>
        <w:autoSpaceDE w:val="0"/>
        <w:widowControl/>
        <w:spacing w:line="245" w:lineRule="auto" w:before="118" w:after="0"/>
        <w:ind w:left="0" w:right="26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Kumar ve Murugan (2013) çalışmalarında Hindistan Ulusal Menkul Kıymet Borsası’na ve Bombay Menkul Kıymet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Borsası’na ait 2007-2011 yılları arası dönemde yer alan 1237 gözlemin 866’sını eğitim ve 371’ini ise test verisi olarak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kullanmışlardır. Çalışmada performans ölçümü olarak Ortalama Mutlak Hata (MAE), Ortalama Mutlak Yüzde Hatası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(MAPE), Ortalama Mutlak Sapma Yüzdesi (PMAD), Hata Kareler Ortalaması (MSE), Hata Kareler Ortalamasının Karekökü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(RMSE) kullanılmıştır. Çalışmada yapay sinir ağları kullanılarak, tahmin doğruluğu analiz edilmiş ve ölçülmüştür. Ayrıca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çeşitli deneyler yapılarak tahmin ağı için doğru parametrelerin çağ sayısı, öğrenme oranı ve momentum sırasıyla 2960,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0.28 ve 0.5 olarak elde edilmiştir. </w:t>
      </w:r>
    </w:p>
    <w:p>
      <w:pPr>
        <w:autoSpaceDN w:val="0"/>
        <w:autoSpaceDE w:val="0"/>
        <w:widowControl/>
        <w:spacing w:line="245" w:lineRule="auto" w:before="118" w:after="0"/>
        <w:ind w:left="0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Akbilgic vd. (2014) çalışmalarında tahminci olarak Hibrit Radyal Temel Fonksiyonlu Sinir Ağları (HRBF-NN) adı verilen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yeni bir tahmine dayalı istatistiksel modelleme tekniğini öne sürmüşlerdir. HRBF-NN; regresyon ağacını, ridge regresyonun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ve radyal tabanlı fonksiyon (RBF) ile sinir ağları(NN)’nı bütünleştiren esnek bir tahmin tekniği olarak tanımlanmaktadır. En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iyi tahmin edicilerin alt küme seçimini gerçekleştirmek için genetik algoritmayı (GA) ve uygunluk fonksiyonu olarak teorik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bilgi ilkelerine dayalı model seçimini kullanarak yeni bir hesaplama prosedürü geliştirmişlerdir. Ayrıca BIST 100 ile diğer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yedi uluslararası borsa endeksi arasındaki tahmin ilişkisini belirlemek için sayısal örnekler vermişlerdir. HRBF-NN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modelinin doğrusal olmayan veri yapıları arasındaki ilişkileri yönetebilen oldukça esnek ve akıllı bir veri madenciliği tekniği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olduğunu ve model tarafından yapılan tahminlerin yaklaşık %65 doğruluk oranı ile performans gösterdiğini belirtmişlerdir. </w:t>
      </w:r>
    </w:p>
    <w:p>
      <w:pPr>
        <w:autoSpaceDN w:val="0"/>
        <w:autoSpaceDE w:val="0"/>
        <w:widowControl/>
        <w:spacing w:line="245" w:lineRule="auto" w:before="122" w:after="0"/>
        <w:ind w:left="0" w:right="24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Kara ve Ecer (2018) çalışmalarında lojistik regresyon, destek vektör makineleri, yapay sinir ağları ve lineer diskriminant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analiz modellerinin BIST Banka Endeksi hareketlerini belirlemede performanslarını sınıflandırmışlardır.  Çalışmada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1995:03 ile 2018:03 dönemleri arası günlük veriler kullanılmıştır. Verilerin %90’lık kısmı eğitim ve %10’luk kısmı ise test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verisi olarak ele alınmıştır. Çalışma sonucuna göre modeller performanslarına göre yapay sinir ağları (%81.74), lineer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diskriminant analizi (76.87), lojistik regresyon (%76.70) ve destek vektör makineleri (%60,87) olarak sıralanmıştır. </w:t>
      </w:r>
    </w:p>
    <w:p>
      <w:pPr>
        <w:autoSpaceDN w:val="0"/>
        <w:autoSpaceDE w:val="0"/>
        <w:widowControl/>
        <w:spacing w:line="245" w:lineRule="auto" w:before="120" w:after="0"/>
        <w:ind w:left="0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Pabuçcu (2019) çalışmasında yapay sinir ağları, destek vektör makineleri ve naive-bayes sınıflandırma algoritması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tekniklerini kullanarak bu modellerin sınıflandırma performanslarını, BIST 100 endeksini tahmin ederek analiz etmiştir.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Çalışmada 2009 ile 2018 yılları arası teknik analiz göstergeleri kullanılmıştır. Sonuç olarak çalışmada kullanılan modellerin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performansları sırasıyla yapay sinir ağları (0,998), destek vektör makineleri (0,991) ve naive- bayes (0,904) olarak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sıralanmıştır. </w:t>
      </w:r>
    </w:p>
    <w:p>
      <w:pPr>
        <w:autoSpaceDN w:val="0"/>
        <w:autoSpaceDE w:val="0"/>
        <w:widowControl/>
        <w:spacing w:line="238" w:lineRule="auto" w:before="412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1003 </w:t>
      </w:r>
    </w:p>
    <w:p>
      <w:pPr>
        <w:sectPr>
          <w:pgSz w:w="11906" w:h="16838"/>
          <w:pgMar w:top="342" w:right="1062" w:bottom="284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2" w:firstLine="0"/>
        <w:jc w:val="right"/>
      </w:pP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[ GUSBID ] Gümüşhane Üniversitesi Sosyal Bilimler Dergisi, Yıl: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2023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Cilt: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14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>Sayı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>: 3</w:t>
      </w:r>
    </w:p>
    <w:p>
      <w:pPr>
        <w:autoSpaceDN w:val="0"/>
        <w:autoSpaceDE w:val="0"/>
        <w:widowControl/>
        <w:spacing w:line="245" w:lineRule="auto" w:before="218" w:after="0"/>
        <w:ind w:left="0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Koç Ustalı vd. (2021) çalışmalarında BIST 30’da yer alan işletmelerin hisse senedi fiyatlarını tahmin etmek için yapay sinir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ağları, rastgele orman ve XGBoost algoritmalarını kullanmışlardır. Hisse senedi fiyat tahmini için işletmelerin 2010-2019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yılları arası çeyrek dönemlik verileriyle likidite, faaliyet, kârlılık ve mali yapı oranları hesaplanmıştır. Elde edilen sonuçlara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göre tahmin performansları sıralandığında birinci sırada XGBoost, ikinci sırada rastgele orman algoritması yer alırken,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yapay sinir ağları en düşük tahmin performansını göstermiştir. </w:t>
      </w:r>
    </w:p>
    <w:p>
      <w:pPr>
        <w:autoSpaceDN w:val="0"/>
        <w:autoSpaceDE w:val="0"/>
        <w:widowControl/>
        <w:spacing w:line="245" w:lineRule="auto" w:before="120" w:after="0"/>
        <w:ind w:left="0" w:right="22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Demirel ve Hazar (2021) çalışmalarında BIST 100 endeksi fiyat hareketlerinin yönünü belirlemek amacıyla EURO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STOXX50, FTSE 100, DAX ve DOW 30 endekslerine ait 2014-2019 yılları arası günlük verilere yapay sinir ağları yöntemini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uygulamışlardır. Çalışma sonucunda BIST 100 endeksi tahmininde yapay sinir ağlarının %59.57 oranında başarı sağladığı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görülmüştür. </w:t>
      </w:r>
    </w:p>
    <w:p>
      <w:pPr>
        <w:autoSpaceDN w:val="0"/>
        <w:autoSpaceDE w:val="0"/>
        <w:widowControl/>
        <w:spacing w:line="245" w:lineRule="auto" w:before="120" w:after="0"/>
        <w:ind w:left="0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Aksoy (2021) çalışmasında kurumsal yönetim ve BIST 30 endekslerinde yer alan beş imalat sanayi şirketinin 3 aylık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ortalama hisse senedi fiyat yönü tahmini için 2010:3 ve 2020:3 dönemleri arası finansal tablo ve makroekonomik değişken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verilerini kullanmıştır. Yapay sinir ağları, K-en yakın komşu algoritması, sınıflandırma ve regresyon ağacı yöntemlerinin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kullanıldığı çalışma sonucunda hangi yöntemin daha başarılı tahmin yaptığı sıralanmıştır. Tahmin sıralaması en yüksekten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düşüğe doğru yapay sinir ağları (%98,05), sınıflandırma ve regresyon ağacı (%96,10) ve K-en yakın komşu algoritması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(%92,20) şeklinde oluşturulmuştur. </w:t>
      </w:r>
    </w:p>
    <w:p>
      <w:pPr>
        <w:autoSpaceDN w:val="0"/>
        <w:autoSpaceDE w:val="0"/>
        <w:widowControl/>
        <w:spacing w:line="245" w:lineRule="auto" w:before="118" w:after="0"/>
        <w:ind w:left="0" w:right="28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Filiz vd. (2021) çalışmalarında BIST 100 endeksinin değişim yönünü belirlemek amacıyla lojistik regresyon ve destek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vektör makinesi PUK çekirdeği algoritması yöntemlerini kullanmışlardır. BIST 100 endeksi bağımlı değişken olarak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alınırken, bağımsız değişken olarak Dünya’nın çeşitli ülkelerine ait borsa endekslerinin yanı sıra dolar kuru, euro kuru ve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altın ons verileri 2006-2020 arası dönem için ele alınmıştır. Çalışma sonucunda destek vektör makinesi PUK çekirdeği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algoritması %71.9 oranında başarı elde ederken, lojistik regresyon %70.6 oranında başarı elde etmiştir. </w:t>
      </w:r>
    </w:p>
    <w:p>
      <w:pPr>
        <w:autoSpaceDN w:val="0"/>
        <w:autoSpaceDE w:val="0"/>
        <w:widowControl/>
        <w:spacing w:line="245" w:lineRule="auto" w:before="118" w:after="0"/>
        <w:ind w:left="0" w:right="24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Jabeur vd. (2021) çalışmalarında çok sayıda açıklayıcı değişkenin ABD doları cinsinden verilen altın fiyatı üzerindeki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etkisini araştırmışlardır. Veriler Ocak 1986’dan Aralık 2019’a kadar olan dönemi kapsayan 408 aylık gözlem içermektedir.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Verilerin %80’lik kısmı eğitim ve %20’lik kısmı ise test amacıyla kullanılmıştır. Çalışmada kullanılan makine öğrenim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modelleri; doğrusal regresyon, yapay sinir ağları, rastgele orman algoritması, Light gradyan artırma makinesi, CatBoost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algoritması, XGBoost algoritmasıdır. Ayrıca bu çalışma, yorumlanabilir makine öğrenimi alanını birleştirmek için SHAP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yöntemini sunmuştur. Altın fiyatını tahmin etmek için tasarlanmış XGBoost’un çıktılarını yorumlamak için Shapley katkı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açıklamalarının nasıl kullanılabileceğini göstermişlerdir. Elde edilen analiz sonuçlarına göre XGBoost en iyi tahmin modeli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iken onu sırasıyla CatBoost, Rf, lineer regresyon(doğrusal regresyon) ve yapay sinir ağları izlemektedir. </w:t>
      </w:r>
    </w:p>
    <w:p>
      <w:pPr>
        <w:autoSpaceDN w:val="0"/>
        <w:autoSpaceDE w:val="0"/>
        <w:widowControl/>
        <w:spacing w:line="245" w:lineRule="auto" w:before="122" w:after="0"/>
        <w:ind w:left="0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Sarı ve Saka Ilgın (2022) çalışmalarında 2008-2019 yılları arası aylık verilerle BRICS ülkeleri endeksleri yardımıyla BIST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100 endeks hareketlerini tahmin etmek için yapay sinir ağları modellerini kullanmışlardır. Verilerin %30’u modelin tahmin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başarısını ölçmek için kullanılırken, %70’i eğitim verisi olarak kullanılmıştır. Elde edilen analiz sonuçları Rusya, Hindistan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ve Güney Afrika ülkelerinin borsa endekslerinin BIST 100 endeksi tahmininde başarılı sonuçlar gösterdiği yönündedir. </w:t>
      </w:r>
    </w:p>
    <w:p>
      <w:pPr>
        <w:autoSpaceDN w:val="0"/>
        <w:autoSpaceDE w:val="0"/>
        <w:widowControl/>
        <w:spacing w:line="240" w:lineRule="auto" w:before="492" w:after="0"/>
        <w:ind w:left="0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2"/>
        </w:rPr>
        <w:t>2.</w:t>
      </w: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Veri Seti ve Metodoloji </w:t>
      </w:r>
    </w:p>
    <w:p>
      <w:pPr>
        <w:autoSpaceDN w:val="0"/>
        <w:autoSpaceDE w:val="0"/>
        <w:widowControl/>
        <w:spacing w:line="240" w:lineRule="auto" w:before="118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Çalışmanın bu kısmında kullanılan değişkenlere ve analiz yöntemlerine yer verilmiştir. </w:t>
      </w:r>
    </w:p>
    <w:p>
      <w:pPr>
        <w:autoSpaceDN w:val="0"/>
        <w:autoSpaceDE w:val="0"/>
        <w:widowControl/>
        <w:spacing w:line="240" w:lineRule="auto" w:before="118" w:after="0"/>
        <w:ind w:left="0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2"/>
        </w:rPr>
        <w:t>2.1.</w:t>
      </w: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Değişkenler </w:t>
      </w:r>
    </w:p>
    <w:p>
      <w:pPr>
        <w:autoSpaceDN w:val="0"/>
        <w:autoSpaceDE w:val="0"/>
        <w:widowControl/>
        <w:spacing w:line="245" w:lineRule="auto" w:before="120" w:after="0"/>
        <w:ind w:left="0" w:right="22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Araştırma kapsamında makine öğrenme algoritmaları kullanılarak BIST endeksi için yön tahminleri gerçekleştirilmiştir. Veri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setinde Ocak 2002 - Eylül 2022 tarihleri arasında aylık ortalama BIST 100 endeks değerleri alınarak, bir önceki aya göre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artış gerçekleşen durumlar için “1”, azalış gerçekleşen durumlar için “0” şeklinde iki gruplu bir bağımlı değişken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oluşturulmuştur. Akbilgic ve diğ. (2014) hareketle, bağımsız değişken olarak BIST 100, S&amp;P 500, CAC40, FTSE10,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NIKKEI225, DAX, SHANGAICOMP, ONSUSD, USDTRY, VIX ve REPO değişkenlerinin 1. ve 2. gecikmeli değerleri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alınmıştır.</w:t>
      </w:r>
      <w:r>
        <w:rPr>
          <w:rFonts w:ascii="Arial Narrow" w:hAnsi="Arial Narrow" w:eastAsia="Arial Narrow"/>
          <w:b w:val="0"/>
          <w:i w:val="0"/>
          <w:color w:val="000000"/>
          <w:sz w:val="14"/>
        </w:rPr>
        <w:t>2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Uygulamada kullanılan değişkenlere ait tanımlar tablo 1’de verilmiştir. </w:t>
      </w:r>
    </w:p>
    <w:p>
      <w:pPr>
        <w:autoSpaceDN w:val="0"/>
        <w:autoSpaceDE w:val="0"/>
        <w:widowControl/>
        <w:spacing w:line="238" w:lineRule="auto" w:before="492" w:after="124"/>
        <w:ind w:left="0" w:right="0" w:firstLine="0"/>
        <w:jc w:val="center"/>
      </w:pP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Tablo 1. Değişken Tanımları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7.99999999999997" w:type="dxa"/>
      </w:tblPr>
      <w:tblGrid>
        <w:gridCol w:w="3237"/>
        <w:gridCol w:w="3237"/>
        <w:gridCol w:w="3237"/>
      </w:tblGrid>
      <w:tr>
        <w:trPr>
          <w:trHeight w:hRule="exact" w:val="454"/>
        </w:trPr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Simge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Açıklama </w:t>
            </w:r>
          </w:p>
        </w:tc>
        <w:tc>
          <w:tcPr>
            <w:tcW w:type="dxa" w:w="21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Kaynak </w:t>
            </w:r>
          </w:p>
        </w:tc>
      </w:tr>
      <w:tr>
        <w:trPr>
          <w:trHeight w:hRule="exact" w:val="456"/>
        </w:trPr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BIST100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Borsa İstanbul 100 endeksi </w:t>
            </w:r>
          </w:p>
        </w:tc>
        <w:tc>
          <w:tcPr>
            <w:tcW w:type="dxa" w:w="21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investing.com </w:t>
            </w:r>
          </w:p>
        </w:tc>
      </w:tr>
    </w:tbl>
    <w:p>
      <w:pPr>
        <w:autoSpaceDN w:val="0"/>
        <w:autoSpaceDE w:val="0"/>
        <w:widowControl/>
        <w:spacing w:line="245" w:lineRule="auto" w:before="568" w:after="0"/>
        <w:ind w:left="0" w:right="432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12"/>
        </w:rPr>
        <w:t>2</w:t>
      </w:r>
      <w:r>
        <w:rPr>
          <w:rFonts w:ascii="Arial Narrow" w:hAnsi="Arial Narrow" w:eastAsia="Arial Narrow"/>
          <w:b w:val="0"/>
          <w:i w:val="0"/>
          <w:color w:val="000000"/>
          <w:sz w:val="18"/>
        </w:rPr>
        <w:t xml:space="preserve"> Finansal parametreler genelde bir veya iki dönem önceki gecikmeli değerlerden etkilendiği için bu değerler seçilmiştir. Literatürde genelde 2 </w:t>
      </w:r>
      <w:r>
        <w:rPr>
          <w:rFonts w:ascii="Arial Narrow" w:hAnsi="Arial Narrow" w:eastAsia="Arial Narrow"/>
          <w:b w:val="0"/>
          <w:i w:val="0"/>
          <w:color w:val="000000"/>
          <w:sz w:val="18"/>
        </w:rPr>
        <w:t xml:space="preserve">gecikmeye kadar değişkenler alındığı için çalışmada bu şekilde bir yol izlenmiştir. </w:t>
      </w:r>
    </w:p>
    <w:p>
      <w:pPr>
        <w:autoSpaceDN w:val="0"/>
        <w:autoSpaceDE w:val="0"/>
        <w:widowControl/>
        <w:spacing w:line="238" w:lineRule="auto" w:before="312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1004 </w:t>
      </w:r>
    </w:p>
    <w:p>
      <w:pPr>
        <w:sectPr>
          <w:pgSz w:w="11906" w:h="16838"/>
          <w:pgMar w:top="340" w:right="1062" w:bottom="284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42" w:lineRule="auto" w:before="0" w:after="220"/>
        <w:ind w:left="0" w:right="72" w:firstLine="0"/>
        <w:jc w:val="right"/>
      </w:pP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[ GUSBID ] Gümüşhane Üniversitesi Sosyal Bilimler Dergisi, Yıl: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2023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Cilt: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14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>Sayı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>: 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7.99999999999997" w:type="dxa"/>
      </w:tblPr>
      <w:tblGrid>
        <w:gridCol w:w="3237"/>
        <w:gridCol w:w="3237"/>
        <w:gridCol w:w="3237"/>
      </w:tblGrid>
      <w:tr>
        <w:trPr>
          <w:trHeight w:hRule="exact" w:val="458"/>
        </w:trPr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S&amp;P 500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10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Standard &amp; Poor's 500 endeksi </w:t>
            </w:r>
          </w:p>
        </w:tc>
        <w:tc>
          <w:tcPr>
            <w:tcW w:type="dxa" w:w="215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investing.com </w:t>
            </w:r>
          </w:p>
        </w:tc>
      </w:tr>
      <w:tr>
        <w:trPr>
          <w:trHeight w:hRule="exact" w:val="458"/>
        </w:trPr>
        <w:tc>
          <w:tcPr>
            <w:tcW w:type="dxa" w:w="255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CAC40 </w:t>
            </w:r>
          </w:p>
        </w:tc>
        <w:tc>
          <w:tcPr>
            <w:tcW w:type="dxa" w:w="45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0" w:after="0"/>
              <w:ind w:left="10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Fransa Borsa Endeksi </w:t>
            </w:r>
          </w:p>
        </w:tc>
        <w:tc>
          <w:tcPr>
            <w:tcW w:type="dxa" w:w="215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investing.com </w:t>
            </w:r>
          </w:p>
        </w:tc>
      </w:tr>
      <w:tr>
        <w:trPr>
          <w:trHeight w:hRule="exact" w:val="456"/>
        </w:trPr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FTSE10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Londra Borsası Endeksi </w:t>
            </w:r>
          </w:p>
        </w:tc>
        <w:tc>
          <w:tcPr>
            <w:tcW w:type="dxa" w:w="21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investing.com </w:t>
            </w:r>
          </w:p>
        </w:tc>
      </w:tr>
      <w:tr>
        <w:trPr>
          <w:trHeight w:hRule="exact" w:val="454"/>
        </w:trPr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NIKKEI225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Tokyo Menkul Kıymetler Borsası </w:t>
            </w:r>
          </w:p>
        </w:tc>
        <w:tc>
          <w:tcPr>
            <w:tcW w:type="dxa" w:w="21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investing.com </w:t>
            </w:r>
          </w:p>
        </w:tc>
      </w:tr>
      <w:tr>
        <w:trPr>
          <w:trHeight w:hRule="exact" w:val="460"/>
        </w:trPr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DAX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10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Almanya Borsa Endeksi </w:t>
            </w:r>
          </w:p>
        </w:tc>
        <w:tc>
          <w:tcPr>
            <w:tcW w:type="dxa" w:w="21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investing.com </w:t>
            </w:r>
          </w:p>
        </w:tc>
      </w:tr>
      <w:tr>
        <w:trPr>
          <w:trHeight w:hRule="exact" w:val="454"/>
        </w:trPr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SHANGAICOMP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Şanghay Kompozit Endeksi </w:t>
            </w:r>
          </w:p>
        </w:tc>
        <w:tc>
          <w:tcPr>
            <w:tcW w:type="dxa" w:w="21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investing.com </w:t>
            </w:r>
          </w:p>
        </w:tc>
      </w:tr>
      <w:tr>
        <w:trPr>
          <w:trHeight w:hRule="exact" w:val="458"/>
        </w:trPr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ONSUSD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Ons Altın </w:t>
            </w:r>
          </w:p>
        </w:tc>
        <w:tc>
          <w:tcPr>
            <w:tcW w:type="dxa" w:w="21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investing.com </w:t>
            </w:r>
          </w:p>
        </w:tc>
      </w:tr>
      <w:tr>
        <w:trPr>
          <w:trHeight w:hRule="exact" w:val="456"/>
        </w:trPr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USDTRY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ABD Doları </w:t>
            </w:r>
          </w:p>
        </w:tc>
        <w:tc>
          <w:tcPr>
            <w:tcW w:type="dxa" w:w="21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investing.com </w:t>
            </w:r>
          </w:p>
        </w:tc>
      </w:tr>
      <w:tr>
        <w:trPr>
          <w:trHeight w:hRule="exact" w:val="456"/>
        </w:trPr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VIX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Vix Volatilite Endeksi </w:t>
            </w:r>
          </w:p>
        </w:tc>
        <w:tc>
          <w:tcPr>
            <w:tcW w:type="dxa" w:w="21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investing.com </w:t>
            </w:r>
          </w:p>
        </w:tc>
      </w:tr>
      <w:tr>
        <w:trPr>
          <w:trHeight w:hRule="exact" w:val="458"/>
        </w:trPr>
        <w:tc>
          <w:tcPr>
            <w:tcW w:type="dxa" w:w="25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REPO </w:t>
            </w:r>
          </w:p>
        </w:tc>
        <w:tc>
          <w:tcPr>
            <w:tcW w:type="dxa" w:w="45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10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Aylık Gecelik Repo Faizi </w:t>
            </w:r>
          </w:p>
        </w:tc>
        <w:tc>
          <w:tcPr>
            <w:tcW w:type="dxa" w:w="21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8"/>
              </w:rPr>
              <w:t xml:space="preserve">TCMB EVDS </w:t>
            </w:r>
          </w:p>
        </w:tc>
      </w:tr>
    </w:tbl>
    <w:p>
      <w:pPr>
        <w:autoSpaceDN w:val="0"/>
        <w:tabs>
          <w:tab w:pos="362" w:val="left"/>
          <w:tab w:pos="722" w:val="left"/>
        </w:tabs>
        <w:autoSpaceDE w:val="0"/>
        <w:widowControl/>
        <w:spacing w:line="374" w:lineRule="exact" w:before="0" w:after="0"/>
        <w:ind w:left="0" w:right="72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Uygulamada BIST 100 endeksi için yön tahmininde toplam dokuz farklı makine öğrenme metodu kullanılmıştır: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-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Lojistik regresyon analizi (LR)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-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Lineer diskriminant analizi (LDA)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-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Naive Bayes algoritması (NB)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-</w:t>
      </w:r>
      <w:r>
        <w:br/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Rastgele orman algoritması (RF)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-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K-en yakın komşu algoritması (KNN)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-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Sınıflandırma ve regresyon ağacı algoritması (CART)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-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Yapay sinir ağları (NNET)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-</w:t>
      </w:r>
      <w:r>
        <w:br/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Gauss çekirdek fonksiyonu ile destek vektör makineleri (SVM-RBF)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-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Polinomiyal çekirdek fonksiyonu ile destek vektör makineleri (SVM-POLY) </w:t>
      </w:r>
    </w:p>
    <w:p>
      <w:pPr>
        <w:autoSpaceDN w:val="0"/>
        <w:autoSpaceDE w:val="0"/>
        <w:widowControl/>
        <w:spacing w:line="238" w:lineRule="auto" w:before="104" w:after="0"/>
        <w:ind w:left="0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2"/>
        </w:rPr>
        <w:t>2.2.</w:t>
      </w: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Lojistik Regresyon Analizi (LR): </w:t>
      </w:r>
    </w:p>
    <w:p>
      <w:pPr>
        <w:autoSpaceDN w:val="0"/>
        <w:autoSpaceDE w:val="0"/>
        <w:widowControl/>
        <w:spacing w:line="245" w:lineRule="auto" w:before="120" w:after="68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Lojistik regresyon kategorik bağımlı değişkenin varlığı halinde bağımlı değişkenin bağımsız değişken(ler)le ilişkisinin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incelenmesine yardımcı olan istatistik temelli bir algoritmadır. Lojistik regresyon,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68.0" w:type="dxa"/>
      </w:tblPr>
      <w:tblGrid>
        <w:gridCol w:w="4856"/>
        <w:gridCol w:w="4856"/>
      </w:tblGrid>
      <w:tr>
        <w:trPr>
          <w:trHeight w:hRule="exact" w:val="338"/>
        </w:trPr>
        <w:tc>
          <w:tcPr>
            <w:tcW w:type="dxa" w:w="2384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10" w:after="0"/>
              <w:ind w:left="0" w:right="60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y =</w:t>
            </w:r>
          </w:p>
        </w:tc>
        <w:tc>
          <w:tcPr>
            <w:tcW w:type="dxa" w:w="1334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1</w:t>
            </w:r>
          </w:p>
        </w:tc>
      </w:tr>
      <w:tr>
        <w:trPr>
          <w:trHeight w:hRule="exact" w:val="308"/>
        </w:trPr>
        <w:tc>
          <w:tcPr>
            <w:tcW w:type="dxa" w:w="2384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0" w:after="0"/>
              <w:ind w:left="0" w:right="60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y =</w:t>
            </w:r>
          </w:p>
        </w:tc>
        <w:tc>
          <w:tcPr>
            <w:tcW w:type="dxa" w:w="1334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" w:lineRule="auto" w:before="1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1 + e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−(α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3"/>
              </w:rPr>
              <w:t>0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+α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3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x)</w:t>
            </w:r>
          </w:p>
        </w:tc>
      </w:tr>
    </w:tbl>
    <w:p>
      <w:pPr>
        <w:autoSpaceDN w:val="0"/>
        <w:autoSpaceDE w:val="0"/>
        <w:widowControl/>
        <w:spacing w:line="245" w:lineRule="auto" w:before="42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şeklinde formüle edilmektedir. Burada;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∝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0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elde edilecek eğrinin x ekseninde hareket etmesini sağlayan parametre iken,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∝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1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ise eğrinin dikliğini ayarlamasını sağlayan parametredir (Goy vd., 2019: 3). </w:t>
      </w:r>
    </w:p>
    <w:p>
      <w:pPr>
        <w:autoSpaceDN w:val="0"/>
        <w:autoSpaceDE w:val="0"/>
        <w:widowControl/>
        <w:spacing w:line="245" w:lineRule="auto" w:before="86" w:after="0"/>
        <w:ind w:left="0" w:right="22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Lojistik regresyon “regresyon”  kelimesini içermesine rağmen aslında bir sınıflandırma modelidir ve birçok farklı özelliğe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sahiptir.  Veri dağılımı hakkında önceden herhangi bir varsayım gerektirmeden etiket olasılığını doğrudan modelleyip,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uygun olmayan varsayımsal veri dağılımları gibi sorunları önlemek veya karar vermek amacıyla olasılığı kullanan görevler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için gerekli olan ilişkili olasılıklarla birlikte etiketleri tahmin etmek bu özelliklerden birkaçıdır.  Son olarak, lojistik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regresyonun amaç fonksiyonu, birçok yararlı matematiksel özellik ile tüm mertebelerden türevlere sahip bir dışbükey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fonksiyondur ve dışbükeylik, onu sayısal optimizasyon yöntemleriyle çözülebilir kılmaktadır. (Zhou, 2021: 63) Ayrıca lojistik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regresyon yöntemi 0 ile 1 aralığında uzatılmış S şeklinde sınırlı lojistik eğriler üretebildiği için popülerliğini korumaktadır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(Kleinbaum ve Klein, 2010: 6). </w:t>
      </w:r>
    </w:p>
    <w:p>
      <w:pPr>
        <w:autoSpaceDN w:val="0"/>
        <w:autoSpaceDE w:val="0"/>
        <w:widowControl/>
        <w:spacing w:line="240" w:lineRule="auto" w:before="118" w:after="0"/>
        <w:ind w:left="0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2"/>
        </w:rPr>
        <w:t>2.3.</w:t>
      </w: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Lineer Dikriminant Analizi (LDA): </w:t>
      </w:r>
    </w:p>
    <w:p>
      <w:pPr>
        <w:autoSpaceDN w:val="0"/>
        <w:autoSpaceDE w:val="0"/>
        <w:widowControl/>
        <w:spacing w:line="245" w:lineRule="auto" w:before="118" w:after="0"/>
        <w:ind w:left="0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Lineer diskriminant analizi ilk olarak Fisher (1936) tarafından ikili sınıflandırma problemleri için önerildiğinden Fisher’s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Lineer Diskriminant (FLD) analizi olarak da bilinen klasik bir lineer yöntemdir. Basit bir temele sahip olan LDA, aynı sınıfa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ait örnekleri birbirine yakın, farklı sınıflara ait örnekleri ise birbirinden uzak olacak şekilde sınıflandırmaktadır. (Zhou, 2021: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65)  Ayrıca bu analiz, yeni ölçüm yapılarak elde edilen bir örneğin, birimlere ait m tane özelliği olan k adet sınıftan birine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atanmasını sağlayan bir makine öğrenme yöntemidir.  Birimler en az hata ile ait oldukları sınıfa diskriminant fonksiyonu </w:t>
      </w:r>
    </w:p>
    <w:p>
      <w:pPr>
        <w:autoSpaceDN w:val="0"/>
        <w:autoSpaceDE w:val="0"/>
        <w:widowControl/>
        <w:spacing w:line="238" w:lineRule="auto" w:before="424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1005 </w:t>
      </w:r>
    </w:p>
    <w:p>
      <w:pPr>
        <w:sectPr>
          <w:pgSz w:w="11906" w:h="16838"/>
          <w:pgMar w:top="340" w:right="1062" w:bottom="284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2" w:firstLine="0"/>
        <w:jc w:val="right"/>
      </w:pP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[ GUSBID ] Gümüşhane Üniversitesi Sosyal Bilimler Dergisi, Yıl: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2023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Cilt: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14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>Sayı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>: 3</w:t>
      </w:r>
    </w:p>
    <w:p>
      <w:pPr>
        <w:autoSpaceDN w:val="0"/>
        <w:autoSpaceDE w:val="0"/>
        <w:widowControl/>
        <w:spacing w:line="245" w:lineRule="auto" w:before="218" w:after="0"/>
        <w:ind w:left="0" w:right="26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olarak adlandırılan eşitlikler yardımıyla atanarak sınıflandırılmaktadır. Lineer diskriminant analizinde kullanılan her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değişkenin normal dağılıma sahip olması, LDA ile belirlenen ayırıcı fonksiyonların daha etkin sonuçlar vermesi için en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temel varsayımdır. X, k boyutlu bir gözlem vektörünü ifade eden iki gruplu bir örnek için diskriminant fonksiyonu, </w:t>
      </w:r>
    </w:p>
    <w:p>
      <w:pPr>
        <w:autoSpaceDN w:val="0"/>
        <w:autoSpaceDE w:val="0"/>
        <w:widowControl/>
        <w:spacing w:line="53" w:lineRule="auto" w:before="158" w:after="0"/>
        <w:ind w:left="0" w:right="0" w:firstLine="0"/>
        <w:jc w:val="center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D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xi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 = d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0i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 + d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1i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X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1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 + ⋯+ d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ki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X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k</w:t>
      </w:r>
    </w:p>
    <w:p>
      <w:pPr>
        <w:autoSpaceDN w:val="0"/>
        <w:autoSpaceDE w:val="0"/>
        <w:widowControl/>
        <w:spacing w:line="245" w:lineRule="auto" w:before="78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olarak gösterilmektedir. Eşitlikte 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D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xi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diskriminant fonksiyonunun değerini,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d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ki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ise k. değişkenin katsayısını ifade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etmektedir. (AltınYavuz ve Yavuz, 2021: 145) </w:t>
      </w:r>
    </w:p>
    <w:p>
      <w:pPr>
        <w:autoSpaceDN w:val="0"/>
        <w:autoSpaceDE w:val="0"/>
        <w:widowControl/>
        <w:spacing w:line="238" w:lineRule="auto" w:before="120" w:after="0"/>
        <w:ind w:left="0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2"/>
        </w:rPr>
        <w:t>2.4.</w:t>
      </w: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Naive Bayes Algoritması (NB): </w:t>
      </w:r>
    </w:p>
    <w:p>
      <w:pPr>
        <w:autoSpaceDN w:val="0"/>
        <w:autoSpaceDE w:val="0"/>
        <w:widowControl/>
        <w:spacing w:line="245" w:lineRule="auto" w:before="120" w:after="0"/>
        <w:ind w:left="0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Bayes teoremini esas alarak oluşturulan Naive Bayes, sınıflandırma amacıyla kullanılan makine öğrenme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algoritmalarından biridir. Söz konusu yöntem bir örneğin hedef özelliğinin sınıf değerine ait olma ihtimalini bulmak amacıyla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kullanılmaktadır (KAYNAR vd., 2017: 7) Naive Bayes veya basit Bayesci sınıflandırıcı algoritmanın işleyişi aşağıdaki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gibidir: </w:t>
      </w:r>
    </w:p>
    <w:p>
      <w:pPr>
        <w:autoSpaceDN w:val="0"/>
        <w:tabs>
          <w:tab w:pos="722" w:val="left"/>
        </w:tabs>
        <w:autoSpaceDE w:val="0"/>
        <w:widowControl/>
        <w:spacing w:line="245" w:lineRule="auto" w:before="124" w:after="0"/>
        <w:ind w:left="362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>1.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D’nin bir veri grubu olduğu varsayımı altında her bir grup, n boyutlu öznitelik vektörü ile temsil edilir ve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X = </w:t>
      </w: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(x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1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, x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, … , x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n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sırasıyla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 n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nitelikten,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A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1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, A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, … , A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n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üzerinde yapılan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ölçümü ifade eder. </w:t>
      </w:r>
    </w:p>
    <w:p>
      <w:pPr>
        <w:autoSpaceDN w:val="0"/>
        <w:autoSpaceDE w:val="0"/>
        <w:widowControl/>
        <w:spacing w:line="245" w:lineRule="auto" w:before="88" w:after="0"/>
        <w:ind w:left="722" w:right="20" w:hanging="36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>2.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C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1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’den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C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m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’e kadar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m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adet sınıf olduğu durumda ve bir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X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veri grubu verildiğinde sınıflandırıcı,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X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’in,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X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’e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koşullanmış olarak en yüksek sonsal olasılığa sahip sınıfa ait olduğunu tahmin edecektir. Yani Naive Bayes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sınıflandırıcısı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X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veri grubunun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C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i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sınıfına ait olduğunu tahmin eder. Böylece,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P(C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i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|X)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’i maksimize edilir. </w:t>
      </w:r>
    </w:p>
    <w:p>
      <w:pPr>
        <w:autoSpaceDN w:val="0"/>
        <w:autoSpaceDE w:val="0"/>
        <w:widowControl/>
        <w:spacing w:line="55" w:lineRule="auto" w:before="0" w:after="0"/>
        <w:ind w:left="722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P(C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i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|X)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’in maksimize edildiği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C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i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sınıfı, maksimum sonsal hipotez olarak adlandırılır. Bu durum, </w:t>
      </w:r>
    </w:p>
    <w:p>
      <w:pPr>
        <w:autoSpaceDN w:val="0"/>
        <w:tabs>
          <w:tab w:pos="5152" w:val="left"/>
        </w:tabs>
        <w:autoSpaceDE w:val="0"/>
        <w:widowControl/>
        <w:spacing w:line="245" w:lineRule="auto" w:before="102" w:after="0"/>
        <w:ind w:left="3568" w:right="360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𝑃(𝐶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∣𝑿) =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𝑃(𝑿∣𝐶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)𝑃(𝐶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𝑃(𝑿)</w:t>
      </w:r>
    </w:p>
    <w:p>
      <w:pPr>
        <w:autoSpaceDN w:val="0"/>
        <w:autoSpaceDE w:val="0"/>
        <w:widowControl/>
        <w:spacing w:line="240" w:lineRule="auto" w:before="118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şeklinde formüle edilir. </w:t>
      </w:r>
    </w:p>
    <w:p>
      <w:pPr>
        <w:autoSpaceDN w:val="0"/>
        <w:tabs>
          <w:tab w:pos="722" w:val="left"/>
        </w:tabs>
        <w:autoSpaceDE w:val="0"/>
        <w:widowControl/>
        <w:spacing w:line="245" w:lineRule="auto" w:before="120" w:after="0"/>
        <w:ind w:left="362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>3.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𝑃(𝑋)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tüm sınıflar için sabit olduğundan, yalnızca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𝑃(𝑿∣𝐶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)𝑃(𝐶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’nin maksimize edilmesi gerekir. Sınıfın önceki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olasılıkları bilinmiyorsa, o zaman genellikle sınıfların eşit derecede muhtemel olduğu varsayılır. </w:t>
      </w:r>
    </w:p>
    <w:p>
      <w:pPr>
        <w:autoSpaceDN w:val="0"/>
        <w:autoSpaceDE w:val="0"/>
        <w:widowControl/>
        <w:spacing w:line="245" w:lineRule="auto" w:before="124" w:after="0"/>
        <w:ind w:left="722" w:right="20" w:hanging="36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>4.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Birçok niteliğe sahip veri kümeleri verildiğinde,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𝑃(𝑿∣𝐶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’yi hesaplamak son derece pahalı olacaktır.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𝑃(𝑿∣𝐶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’deki hesaplamayı azaltmak için sınıf-koşullu bağımsızlık varsayımı yapılır. Bu, özniteliklerin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değerlerinin, veri grubunun sınıf etiketi verildiğinde (yani, öznitelikler arasında hiçbir bağımlılık ilişkisi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olmadığında) koşullu olarak birbirinden bağımsız olduğunu varsayar. Böylece; </w:t>
      </w:r>
    </w:p>
    <w:p>
      <w:pPr>
        <w:autoSpaceDN w:val="0"/>
        <w:autoSpaceDE w:val="0"/>
        <w:widowControl/>
        <w:spacing w:line="43" w:lineRule="auto" w:before="102" w:after="0"/>
        <w:ind w:left="0" w:right="5956" w:firstLine="0"/>
        <w:jc w:val="right"/>
      </w:pPr>
      <w:r>
        <w:rPr>
          <w:rFonts w:ascii="Cambria Math" w:hAnsi="Cambria Math" w:eastAsia="Cambria Math"/>
          <w:b w:val="0"/>
          <w:i w:val="0"/>
          <w:color w:val="000000"/>
          <w:sz w:val="16"/>
        </w:rPr>
        <w:t>𝑛</w:t>
      </w:r>
    </w:p>
    <w:p>
      <w:pPr>
        <w:autoSpaceDN w:val="0"/>
        <w:autoSpaceDE w:val="0"/>
        <w:widowControl/>
        <w:spacing w:line="50" w:lineRule="auto" w:before="114" w:after="0"/>
        <w:ind w:left="2402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𝑃(𝑿∣𝐶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) = ∏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𝑃(𝑥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𝑘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∣𝐶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</w:t>
      </w:r>
    </w:p>
    <w:p>
      <w:pPr>
        <w:autoSpaceDN w:val="0"/>
        <w:tabs>
          <w:tab w:pos="3552" w:val="left"/>
        </w:tabs>
        <w:autoSpaceDE w:val="0"/>
        <w:widowControl/>
        <w:spacing w:line="245" w:lineRule="auto" w:before="78" w:after="0"/>
        <w:ind w:left="3314" w:right="2448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16"/>
        </w:rPr>
        <w:t xml:space="preserve">𝑘=1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= 𝑃(𝑥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1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 ∣𝐶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 × 𝑃(𝑥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 ∣𝐶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 × ⋯× 𝑃(𝑥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𝑛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∣𝐶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45" w:lineRule="auto" w:before="78" w:after="0"/>
        <w:ind w:left="0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olarak elde edilir. Veri gruplarından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𝑃(𝑥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1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|𝐶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), 𝑃(𝑥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|𝐶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), … , 𝑃(𝑥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𝑛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|𝐶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olasılıkları kolayca tahmin edilir. Burada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𝑥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𝑘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’nın,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𝑋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veri grubu için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𝐴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𝑘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özniteliğinin değerini ifade ettiği hatırlanmalıdır. Her öznitelik için özniteliğin kategorik mi yoksa sürekli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değerli mi olduğuna bakılmalıdır. </w:t>
      </w:r>
    </w:p>
    <w:p>
      <w:pPr>
        <w:autoSpaceDN w:val="0"/>
        <w:autoSpaceDE w:val="0"/>
        <w:widowControl/>
        <w:spacing w:line="245" w:lineRule="auto" w:before="124" w:after="0"/>
        <w:ind w:left="722" w:right="22" w:hanging="36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>5.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𝑋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’in sınıf etiketini tahmin etmek için her bir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sınıfı için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𝑃(𝑿∣𝐶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)𝑃(𝐶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değerlendirilir. Sınıflandırıcı, yalnızca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𝑃(𝑿∣𝐶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)𝑃(𝐶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) &gt; ise, veri kümesi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𝑋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’in sınıf etiketinin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sınıfı olduğunu tahmin eder. Başka bir deyişle, tahmin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edilen sınıf etiketi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𝑃(𝑿∣𝐶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)𝑃(𝐶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’nin maksimum olduğu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𝐶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sınıfıdır. (Han vd., 2012: 352-353) </w:t>
      </w:r>
    </w:p>
    <w:p>
      <w:pPr>
        <w:autoSpaceDN w:val="0"/>
        <w:autoSpaceDE w:val="0"/>
        <w:widowControl/>
        <w:spacing w:line="240" w:lineRule="auto" w:before="84" w:after="0"/>
        <w:ind w:left="0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2"/>
        </w:rPr>
        <w:t>2.5.</w:t>
      </w: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Rastgele orman Algoritması (RF): </w:t>
      </w:r>
    </w:p>
    <w:p>
      <w:pPr>
        <w:autoSpaceDN w:val="0"/>
        <w:autoSpaceDE w:val="0"/>
        <w:widowControl/>
        <w:spacing w:line="245" w:lineRule="auto" w:before="118" w:after="0"/>
        <w:ind w:left="0" w:right="22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2001 yılında L. Breiman tarafından önerilen rastgele orman algoritması, genel amaçlı bir sınıflandırma ve regresyon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yöntemidir. Rastgele birkaç karar ağacını birleştiren ve tahminlerini ortalama alarak toplayan yaklaşım, değişken sayısının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gözlem sayısından fazla olması durumunda mükemmel sonuçlar vermektedir. Ayrıca, büyük ölçekli problemlere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uygulanabilecek kadar çok yönlü bir yaklaşımdır. (Biau ve Scornet, 2016: 97) Sınıflandırma ve regresyon örnekleri,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rastgele orman modellerinin genellikle lojistik regresyon ve lineer regresyon gibi parametrik modeller ile karşılaştırıldığında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daha yüksek tahmin doğruluğuna sahip olduğu göstermektedir (Schonlau ve Zou, 2020: 24). </w:t>
      </w:r>
    </w:p>
    <w:p>
      <w:pPr>
        <w:autoSpaceDN w:val="0"/>
        <w:autoSpaceDE w:val="0"/>
        <w:widowControl/>
        <w:spacing w:line="245" w:lineRule="auto" w:before="120" w:after="0"/>
        <w:ind w:left="0" w:right="22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Rastgele orman, makine öğrenme algoritmasının bir birleşimidir. Bir dizi ağaç sınıflandırıcı ile birleştirilen her ağaç, en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popüler sınıf için bir birim oy kullanır ve ardından bu sonuçları birleştirerek nihai sıralama sonucunu alır. RF, yüksek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sınıflandırma doğruluğuna sahiptir, aykırı değerleri ve gürültüyü iyi tolere eder ve asla fazla öğrenme yapmaz. (Liu vd.,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2012: 246) Çok sayıda karar ağacının torbalama yoluyla bir araya gelmesiyle elde edilen sınıflandırma yöntemi olan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rastgele orman algoritmasında B torbalama sayısını,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f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b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sınıflandırma ağacını ve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x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′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ise eğitim sonrasında görülmeyen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örnekler için üretilmiş olan tahminleri göstermektedir. </w:t>
      </w:r>
    </w:p>
    <w:p>
      <w:pPr>
        <w:autoSpaceDN w:val="0"/>
        <w:autoSpaceDE w:val="0"/>
        <w:widowControl/>
        <w:spacing w:line="238" w:lineRule="auto" w:before="458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1006 </w:t>
      </w:r>
    </w:p>
    <w:p>
      <w:pPr>
        <w:sectPr>
          <w:pgSz w:w="11906" w:h="16838"/>
          <w:pgMar w:top="340" w:right="1062" w:bottom="284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42" w:lineRule="auto" w:before="0" w:after="172"/>
        <w:ind w:left="0" w:right="72" w:firstLine="0"/>
        <w:jc w:val="right"/>
      </w:pP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[ GUSBID ] Gümüşhane Üniversitesi Sosyal Bilimler Dergisi, Yıl: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2023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Cilt: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14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>Sayı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>: 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28.0" w:type="dxa"/>
      </w:tblPr>
      <w:tblGrid>
        <w:gridCol w:w="4856"/>
        <w:gridCol w:w="4856"/>
      </w:tblGrid>
      <w:tr>
        <w:trPr>
          <w:trHeight w:hRule="exact" w:val="876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18" w:val="left"/>
                <w:tab w:pos="2590" w:val="left"/>
                <w:tab w:pos="2688" w:val="left"/>
              </w:tabs>
              <w:autoSpaceDE w:val="0"/>
              <w:widowControl/>
              <w:spacing w:line="245" w:lineRule="auto" w:before="60" w:after="0"/>
              <w:ind w:left="2066" w:right="0" w:firstLine="0"/>
              <w:jc w:val="left"/>
            </w:pPr>
            <w:r>
              <w:tab/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 xml:space="preserve">B 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f =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B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∑ </w:t>
            </w:r>
            <w:r>
              <w:br/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b=1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" w:lineRule="auto" w:before="306" w:after="0"/>
              <w:ind w:left="2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b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(x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′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45" w:lineRule="auto" w:before="44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Orman yapısının oluşumunda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N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ağaç değerini ve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m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ise en iyi bölünmenin hesaplanmasında kullanılan değişken değerini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ifade etmektedir. Eğitim ve test gibi iki gruba ayrılmış olan veri grubundaki tüm değişkenler arasından rastgele seçilen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m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değişkenleri ile en iyi dal belirlenmektedir. Gini indeksi seçilmiş olan değişkenlerin hangi değere göre ayrılacağını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hesaplamaktadır.  Ağaçta dal bitince bu işlem sona ermektedir. Gini indeksi, </w:t>
      </w:r>
    </w:p>
    <w:p>
      <w:pPr>
        <w:autoSpaceDN w:val="0"/>
        <w:autoSpaceDE w:val="0"/>
        <w:widowControl/>
        <w:spacing w:line="43" w:lineRule="auto" w:before="104" w:after="0"/>
        <w:ind w:left="0" w:right="4304" w:firstLine="0"/>
        <w:jc w:val="right"/>
      </w:pPr>
      <w:r>
        <w:rPr>
          <w:rFonts w:ascii="Cambria Math" w:hAnsi="Cambria Math" w:eastAsia="Cambria Math"/>
          <w:b w:val="0"/>
          <w:i w:val="0"/>
          <w:color w:val="000000"/>
          <w:sz w:val="16"/>
        </w:rPr>
        <w:t>n</w:t>
      </w:r>
    </w:p>
    <w:p>
      <w:pPr>
        <w:autoSpaceDN w:val="0"/>
        <w:autoSpaceDE w:val="0"/>
        <w:widowControl/>
        <w:spacing w:line="60" w:lineRule="auto" w:before="76" w:after="0"/>
        <w:ind w:left="0" w:right="3910" w:firstLine="0"/>
        <w:jc w:val="righ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Gini(D) = 1 −∑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p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 xml:space="preserve">j 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2</w:t>
      </w:r>
    </w:p>
    <w:p>
      <w:pPr>
        <w:autoSpaceDN w:val="0"/>
        <w:autoSpaceDE w:val="0"/>
        <w:widowControl/>
        <w:spacing w:line="43" w:lineRule="auto" w:before="70" w:after="0"/>
        <w:ind w:left="0" w:right="4224" w:firstLine="0"/>
        <w:jc w:val="right"/>
      </w:pPr>
      <w:r>
        <w:rPr>
          <w:rFonts w:ascii="Cambria Math" w:hAnsi="Cambria Math" w:eastAsia="Cambria Math"/>
          <w:b w:val="0"/>
          <w:i w:val="0"/>
          <w:color w:val="000000"/>
          <w:sz w:val="16"/>
        </w:rPr>
        <w:t>j=1</w:t>
      </w:r>
    </w:p>
    <w:p>
      <w:pPr>
        <w:autoSpaceDN w:val="0"/>
        <w:autoSpaceDE w:val="0"/>
        <w:widowControl/>
        <w:spacing w:line="245" w:lineRule="auto" w:before="120" w:after="0"/>
        <w:ind w:left="0" w:right="22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şeklinde hesaplanmaktadır. Formülde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D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, veri setinin tamamını, n seçilmiş olan veriyi,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p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j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veri grubunda yer alan verilerin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her birinin kendisinden küçük veya büyük eleman sayılarına bölüm karesini temsil etmektedir. (Malkoçoğlu ve Malkoçoglu,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2020: 26-27) </w:t>
      </w:r>
    </w:p>
    <w:p>
      <w:pPr>
        <w:autoSpaceDN w:val="0"/>
        <w:autoSpaceDE w:val="0"/>
        <w:widowControl/>
        <w:spacing w:line="240" w:lineRule="auto" w:before="122" w:after="0"/>
        <w:ind w:left="0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2"/>
        </w:rPr>
        <w:t>2.6.</w:t>
      </w: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K-En Yakın Komşu Algoritması (KNN): </w:t>
      </w:r>
    </w:p>
    <w:p>
      <w:pPr>
        <w:autoSpaceDN w:val="0"/>
        <w:autoSpaceDE w:val="0"/>
        <w:widowControl/>
        <w:spacing w:line="245" w:lineRule="auto" w:before="118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K-en yakın komşu algoritmasında sınıflandırma işlemi eğitim setinde test nesnesine en yakın komşuların sayısı olan k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değerine göre yapılmaktadır. Etiketlenmemiş bir nesneyi sınıflandırmak için bu nesnenin etiketlenmiş nesnelere olan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mesafesi hesaplanır, k-en yakın komşuları tanımlanır ve bu en yakın komşuların sınıf etiketleri daha sonra nesnenin sınıf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etiketini belirlemek için kullanılır. (Wu vd., 2008: 22) Bu algoritmada eğitim verilerini içeren kümedeki her bir örnekle tek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tek işleme alınarak test edilen örneğin sınıfı, eğitim veri setindeki örneğe en yakın k adet örnek seçilerek belirlenmektedir.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Bu örnekler arasındaki mesafe Öklid ile hesaplanmaktadır. (Küçük vd., 2013: 3)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X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’in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a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1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(x), a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(x),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. . . , a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n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(x)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vektörleriyle tanımlanan bir örneklem olduğunu varsayalım. Burada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a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r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(x)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,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x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örneğinin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r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inci özelliğidir. </w:t>
      </w:r>
    </w:p>
    <w:p>
      <w:pPr>
        <w:autoSpaceDN w:val="0"/>
        <w:autoSpaceDE w:val="0"/>
        <w:widowControl/>
        <w:spacing w:line="55" w:lineRule="auto" w:before="0" w:after="160"/>
        <w:ind w:left="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d(x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i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, x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j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) olmak üzere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 x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i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ve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x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j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örnekleri arasındaki Öklid mesafesi,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8.0" w:type="dxa"/>
      </w:tblPr>
      <w:tblGrid>
        <w:gridCol w:w="4856"/>
        <w:gridCol w:w="4856"/>
      </w:tblGrid>
      <w:tr>
        <w:trPr>
          <w:trHeight w:hRule="exact" w:val="682"/>
        </w:trPr>
        <w:tc>
          <w:tcPr>
            <w:tcW w:type="dxa" w:w="3140"/>
            <w:tcBorders>
              <w:top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94" w:val="left"/>
              </w:tabs>
              <w:autoSpaceDE w:val="0"/>
              <w:widowControl/>
              <w:spacing w:line="245" w:lineRule="auto" w:before="102" w:after="0"/>
              <w:ind w:left="1598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 xml:space="preserve">n 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d(x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, x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j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) = √∑ </w:t>
            </w:r>
          </w:p>
        </w:tc>
        <w:tc>
          <w:tcPr>
            <w:tcW w:type="dxa" w:w="1730"/>
            <w:tcBorders>
              <w:top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30" w:val="left"/>
              </w:tabs>
              <w:autoSpaceDE w:val="0"/>
              <w:widowControl/>
              <w:spacing w:line="245" w:lineRule="auto" w:before="234" w:after="0"/>
              <w:ind w:left="3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 xml:space="preserve">2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(a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(x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) −a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(x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j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))</w:t>
            </w:r>
          </w:p>
        </w:tc>
      </w:tr>
    </w:tbl>
    <w:p>
      <w:pPr>
        <w:autoSpaceDN w:val="0"/>
        <w:autoSpaceDE w:val="0"/>
        <w:widowControl/>
        <w:spacing w:line="43" w:lineRule="auto" w:before="30" w:after="0"/>
        <w:ind w:left="0" w:right="5036" w:firstLine="0"/>
        <w:jc w:val="right"/>
      </w:pPr>
      <w:r>
        <w:rPr>
          <w:rFonts w:ascii="Cambria Math" w:hAnsi="Cambria Math" w:eastAsia="Cambria Math"/>
          <w:b w:val="0"/>
          <w:i w:val="0"/>
          <w:color w:val="000000"/>
          <w:sz w:val="16"/>
        </w:rPr>
        <w:t>r=1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olarak hesaplanmaktadır. (Şahan vd., 2007: 418) </w:t>
      </w:r>
    </w:p>
    <w:p>
      <w:pPr>
        <w:autoSpaceDN w:val="0"/>
        <w:autoSpaceDE w:val="0"/>
        <w:widowControl/>
        <w:spacing w:line="238" w:lineRule="auto" w:before="120" w:after="0"/>
        <w:ind w:left="0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2"/>
        </w:rPr>
        <w:t>2.7.</w:t>
      </w: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Sınıflandırma ve Regresyon Ağacı Algoritması (CART): </w:t>
      </w:r>
    </w:p>
    <w:p>
      <w:pPr>
        <w:autoSpaceDN w:val="0"/>
        <w:autoSpaceDE w:val="0"/>
        <w:widowControl/>
        <w:spacing w:line="245" w:lineRule="auto" w:before="120" w:after="0"/>
        <w:ind w:left="0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En yaygın uygulanan veri madenciliği tekniklerinden biri olan CART işletme, tarım, tıp, endüstri ve mühendislik alanlarında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yaygın olarak kullanılmaktadır. CART analizi tahmin problemlerinde etkilidir. Hedef değişkenin değeri kesikli olduğunda,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bir sınıflandırma ağacı geliştirilir. Buna karşılık, sürekli hedef değişken için de bir regresyon ağacı geliştirilir (Chang ve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Wang, 2006: 1021). </w:t>
      </w:r>
    </w:p>
    <w:p>
      <w:pPr>
        <w:autoSpaceDN w:val="0"/>
        <w:autoSpaceDE w:val="0"/>
        <w:widowControl/>
        <w:spacing w:line="245" w:lineRule="auto" w:before="122" w:after="0"/>
        <w:ind w:left="0" w:right="26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CART tarafından üretilen karar ağaçları kesinlikle ikili olup, her karar düğümü için tam olarak iki dal içermektedir. CART,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eğitim veri kümesindeki kayıtları, hedef özellik için benzer değerlere sahip kayıtların alt kümelerine yinelemeli olarak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bölümler. CART algoritması, her bir karar düğümü için mevcut tüm değişkenlerin ve tüm olası bölme değerlerinin kapsamlı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bir aramasını gerçekleştirerek ve aşağıdaki kriterlere göre en uygun bölmeyi seçerek ağacı büyütür. </w:t>
      </w:r>
    </w:p>
    <w:p>
      <w:pPr>
        <w:autoSpaceDN w:val="0"/>
        <w:autoSpaceDE w:val="0"/>
        <w:widowControl/>
        <w:spacing w:line="240" w:lineRule="auto" w:before="150" w:after="156"/>
        <w:ind w:left="0" w:right="4832" w:firstLine="0"/>
        <w:jc w:val="right"/>
      </w:pPr>
      <w:r>
        <w:rPr>
          <w:rFonts w:ascii="Arial Narrow" w:hAnsi="Arial Narrow" w:eastAsia="Arial Narrow"/>
          <w:b w:val="0"/>
          <w:i w:val="0"/>
          <w:color w:val="000000"/>
          <w:sz w:val="16"/>
        </w:rPr>
        <w:t xml:space="preserve">#classes </w:t>
      </w:r>
    </w:p>
    <w:p>
      <w:pPr>
        <w:sectPr>
          <w:pgSz w:w="11906" w:h="16838"/>
          <w:pgMar w:top="340" w:right="1062" w:bottom="284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8" w:lineRule="auto" w:before="0" w:after="0"/>
        <w:ind w:left="0" w:right="20" w:firstLine="0"/>
        <w:jc w:val="righ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Φ(𝑠∣𝑡) = 2𝑃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𝐿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𝑃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𝑅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∑ </w:t>
      </w:r>
    </w:p>
    <w:p>
      <w:pPr>
        <w:autoSpaceDN w:val="0"/>
        <w:autoSpaceDE w:val="0"/>
        <w:widowControl/>
        <w:spacing w:line="43" w:lineRule="auto" w:before="76" w:after="0"/>
        <w:ind w:left="0" w:right="196" w:firstLine="0"/>
        <w:jc w:val="right"/>
      </w:pPr>
      <w:r>
        <w:rPr>
          <w:rFonts w:ascii="Cambria Math" w:hAnsi="Cambria Math" w:eastAsia="Cambria Math"/>
          <w:b w:val="0"/>
          <w:i w:val="0"/>
          <w:color w:val="000000"/>
          <w:sz w:val="16"/>
        </w:rPr>
        <w:t>𝑗=1</w:t>
      </w:r>
    </w:p>
    <w:p>
      <w:pPr>
        <w:sectPr>
          <w:type w:val="continuous"/>
          <w:pgSz w:w="11906" w:h="16838"/>
          <w:pgMar w:top="340" w:right="1062" w:bottom="284" w:left="1132" w:header="720" w:footer="720" w:gutter="0"/>
          <w:cols w:num="2" w:equalWidth="0">
            <w:col w:w="4946" w:space="0"/>
            <w:col w:w="4766" w:space="0"/>
          </w:cols>
          <w:docGrid w:linePitch="360"/>
        </w:sectPr>
      </w:pPr>
    </w:p>
    <w:p>
      <w:pPr>
        <w:autoSpaceDN w:val="0"/>
        <w:autoSpaceDE w:val="0"/>
        <w:widowControl/>
        <w:spacing w:line="50" w:lineRule="auto" w:before="0" w:after="354"/>
        <w:ind w:left="2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|𝑃(𝑗∣𝑡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𝐿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 −𝑃(𝑗∣𝑡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𝑅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)|</w:t>
      </w:r>
    </w:p>
    <w:p>
      <w:pPr>
        <w:sectPr>
          <w:type w:val="nextColumn"/>
          <w:pgSz w:w="11906" w:h="16838"/>
          <w:pgMar w:top="340" w:right="1062" w:bottom="284" w:left="1132" w:header="720" w:footer="720" w:gutter="0"/>
          <w:cols w:num="2" w:equalWidth="0">
            <w:col w:w="4946" w:space="0"/>
            <w:col w:w="4766" w:space="0"/>
          </w:cols>
          <w:docGrid w:linePitch="360"/>
        </w:sectPr>
      </w:pPr>
    </w:p>
    <w:p>
      <w:pPr>
        <w:autoSpaceDN w:val="0"/>
        <w:autoSpaceDE w:val="0"/>
        <w:widowControl/>
        <w:spacing w:line="50" w:lineRule="auto" w:before="0" w:after="0"/>
        <w:ind w:left="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Φ(𝑠∣𝑡)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, t. düğümdeki s. aday bölünmenin uygunluk ölçümü olarak hesaplanır. Burada, </w:t>
      </w:r>
    </w:p>
    <w:p>
      <w:pPr>
        <w:autoSpaceDN w:val="0"/>
        <w:autoSpaceDE w:val="0"/>
        <w:widowControl/>
        <w:spacing w:line="238" w:lineRule="auto" w:before="3130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1007 </w:t>
      </w:r>
    </w:p>
    <w:p>
      <w:pPr>
        <w:sectPr>
          <w:type w:val="continuous"/>
          <w:pgSz w:w="11906" w:h="16838"/>
          <w:pgMar w:top="340" w:right="1062" w:bottom="284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42" w:lineRule="auto" w:before="0" w:after="192"/>
        <w:ind w:left="0" w:right="72" w:firstLine="0"/>
        <w:jc w:val="right"/>
      </w:pP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[ GUSBID ] Gümüşhane Üniversitesi Sosyal Bilimler Dergisi, Yıl: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2023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Cilt: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14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>Sayı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>: 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8.0" w:type="dxa"/>
      </w:tblPr>
      <w:tblGrid>
        <w:gridCol w:w="3237"/>
        <w:gridCol w:w="3237"/>
        <w:gridCol w:w="3237"/>
      </w:tblGrid>
      <w:tr>
        <w:trPr>
          <w:trHeight w:hRule="exact" w:val="656"/>
        </w:trPr>
        <w:tc>
          <w:tcPr>
            <w:tcW w:type="dxa" w:w="2220"/>
            <w:vMerge w:val="restart"/>
            <w:tcBorders>
              <w:bottom w:sz="5.6000000000000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872" w:right="118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𝑡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𝐿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𝑡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𝑅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1296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=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𝑡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2"/>
              </w:rPr>
              <w:t xml:space="preserve">düğümünün sol taraftaki bölünmesi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=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𝑡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2"/>
              </w:rPr>
              <w:t>düğümünün sağ taraftaki bölünmesi</w:t>
            </w:r>
          </w:p>
        </w:tc>
      </w:tr>
      <w:tr>
        <w:trPr>
          <w:trHeight w:hRule="exact" w:val="358"/>
        </w:trPr>
        <w:tc>
          <w:tcPr>
            <w:tcW w:type="dxa" w:w="3237"/>
            <w:vMerge/>
            <w:tcBorders>
              <w:bottom w:sz="5.600000000000023" w:val="single" w:color="#000000"/>
            </w:tcBorders>
          </w:tcPr>
          <w:p/>
        </w:tc>
        <w:tc>
          <w:tcPr>
            <w:tcW w:type="dxa" w:w="3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5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=</w:t>
            </w:r>
          </w:p>
        </w:tc>
        <w:tc>
          <w:tcPr>
            <w:tcW w:type="dxa" w:w="4432"/>
            <w:tcBorders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" w:lineRule="auto" w:before="48" w:after="0"/>
              <w:ind w:left="348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𝑡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𝐿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2"/>
              </w:rPr>
              <w:t xml:space="preserve"> deki kayıtların sayısı </w:t>
            </w:r>
          </w:p>
        </w:tc>
      </w:tr>
      <w:tr>
        <w:trPr>
          <w:trHeight w:hRule="exact" w:val="322"/>
        </w:trPr>
        <w:tc>
          <w:tcPr>
            <w:tcW w:type="dxa" w:w="2220"/>
            <w:vMerge w:val="restart"/>
            <w:tcBorders>
              <w:top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auto" w:before="0" w:after="0"/>
              <w:ind w:left="0" w:right="120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𝑃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𝐿</w:t>
            </w:r>
          </w:p>
        </w:tc>
        <w:tc>
          <w:tcPr>
            <w:tcW w:type="dxa" w:w="3237"/>
            <w:vMerge/>
            <w:tcBorders/>
          </w:tcPr>
          <w:p/>
        </w:tc>
        <w:tc>
          <w:tcPr>
            <w:tcW w:type="dxa" w:w="4432"/>
            <w:tcBorders>
              <w:top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2"/>
              </w:rPr>
              <w:t xml:space="preserve"> Eğitim setindeki kayıtların sayısı</w:t>
            </w:r>
          </w:p>
        </w:tc>
      </w:tr>
      <w:tr>
        <w:trPr>
          <w:trHeight w:hRule="exact" w:val="346"/>
        </w:trPr>
        <w:tc>
          <w:tcPr>
            <w:tcW w:type="dxa" w:w="3237"/>
            <w:vMerge/>
            <w:tcBorders>
              <w:top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3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3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=</w:t>
            </w:r>
          </w:p>
        </w:tc>
        <w:tc>
          <w:tcPr>
            <w:tcW w:type="dxa" w:w="443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" w:lineRule="auto" w:before="34" w:after="0"/>
              <w:ind w:left="36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𝑡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𝑅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2"/>
              </w:rPr>
              <w:t xml:space="preserve"> deki kayıtların sayısı </w:t>
            </w:r>
          </w:p>
        </w:tc>
      </w:tr>
      <w:tr>
        <w:trPr>
          <w:trHeight w:hRule="exact" w:val="314"/>
        </w:trPr>
        <w:tc>
          <w:tcPr>
            <w:tcW w:type="dxa" w:w="2220"/>
            <w:vMerge w:val="restart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" w:lineRule="auto" w:before="0" w:after="0"/>
              <w:ind w:left="0" w:right="118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𝑃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𝑅</w:t>
            </w:r>
          </w:p>
          <w:p>
            <w:pPr>
              <w:autoSpaceDN w:val="0"/>
              <w:autoSpaceDE w:val="0"/>
              <w:widowControl/>
              <w:spacing w:line="50" w:lineRule="auto" w:before="408" w:after="0"/>
              <w:ind w:left="0" w:right="104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𝑃(𝑗∣𝑡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𝐿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)</w:t>
            </w:r>
          </w:p>
          <w:p>
            <w:pPr>
              <w:autoSpaceDN w:val="0"/>
              <w:autoSpaceDE w:val="0"/>
              <w:widowControl/>
              <w:spacing w:line="50" w:lineRule="auto" w:before="406" w:after="0"/>
              <w:ind w:left="0" w:right="104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𝑃(𝑗∣𝑡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𝑅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3237"/>
            <w:vMerge/>
            <w:tcBorders/>
          </w:tcPr>
          <w:p/>
        </w:tc>
        <w:tc>
          <w:tcPr>
            <w:tcW w:type="dxa" w:w="443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5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2"/>
              </w:rPr>
              <w:t xml:space="preserve"> Eğitim setindeki kayıtların sayısı </w:t>
            </w:r>
          </w:p>
        </w:tc>
      </w:tr>
      <w:tr>
        <w:trPr>
          <w:trHeight w:hRule="exact" w:val="1372"/>
        </w:trPr>
        <w:tc>
          <w:tcPr>
            <w:tcW w:type="dxa" w:w="3237"/>
            <w:vMerge/>
            <w:tcBorders>
              <w:top w:sz="5.599999999999909" w:val="single" w:color="#000000"/>
            </w:tcBorders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245" w:lineRule="auto" w:before="42" w:after="0"/>
              <w:ind w:left="114" w:right="216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=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𝑡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𝐿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2"/>
              </w:rPr>
              <w:t xml:space="preserve"> deki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𝑗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2"/>
              </w:rPr>
              <w:t xml:space="preserve"> sınıflarının sayısı</w:t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𝑡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2"/>
              </w:rPr>
              <w:t xml:space="preserve">deki kayıtların sayısı </w:t>
            </w:r>
          </w:p>
          <w:p>
            <w:pPr>
              <w:autoSpaceDN w:val="0"/>
              <w:tabs>
                <w:tab w:pos="614" w:val="left"/>
              </w:tabs>
              <w:autoSpaceDE w:val="0"/>
              <w:widowControl/>
              <w:spacing w:line="245" w:lineRule="auto" w:before="64" w:after="0"/>
              <w:ind w:left="114" w:right="216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=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𝑡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𝑅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2"/>
              </w:rPr>
              <w:t xml:space="preserve"> deki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𝑗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2"/>
              </w:rPr>
              <w:t xml:space="preserve"> sınıflarının sayısı</w:t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𝑡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2"/>
              </w:rPr>
              <w:t xml:space="preserve">deki kayıtların sayısı </w:t>
            </w:r>
          </w:p>
        </w:tc>
      </w:tr>
    </w:tbl>
    <w:p>
      <w:pPr>
        <w:autoSpaceDN w:val="0"/>
        <w:autoSpaceDE w:val="0"/>
        <w:widowControl/>
        <w:spacing w:line="238" w:lineRule="auto" w:before="58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olarak hesaplanmaktadır. (Larose ve Larose, 2014: 168) </w:t>
      </w:r>
    </w:p>
    <w:p>
      <w:pPr>
        <w:autoSpaceDN w:val="0"/>
        <w:autoSpaceDE w:val="0"/>
        <w:widowControl/>
        <w:spacing w:line="238" w:lineRule="auto" w:before="120" w:after="0"/>
        <w:ind w:left="0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2"/>
        </w:rPr>
        <w:t>2.8.</w:t>
      </w: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Yapay Sinir Ağları (NNET): </w:t>
      </w:r>
    </w:p>
    <w:p>
      <w:pPr>
        <w:autoSpaceDN w:val="0"/>
        <w:autoSpaceDE w:val="0"/>
        <w:widowControl/>
        <w:spacing w:line="245" w:lineRule="auto" w:before="120" w:after="0"/>
        <w:ind w:left="0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Sinir ağı, insan beynine benzer bir şekilde çalışan matematiksel bir model oluşturma girişimidir. (Gershenfeld, 1999: 150)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Bir ağ, iletişim kanalları veya konektörlerle birbirine bağlanan birçok öğeden veya nörondan oluşmaktadır. Bu bağlayıcılar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çeşitli yollarla ve katmanlar halinde düzenlenen sayısal verileri taşımaktadır. Sinir ağları, elemanlar arasındaki bağlantılara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veya ağırlıklara belirli değerler atandığında belirli bir işlevi yerine getirebilir. Bir sistemi tanımlamak için modelin varsayılan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bir yapısı yoktur, bunun yerine ağlar ayarlanır veya eğitilir, böylece belirli bir girdi belirli bir hedef çıktıya yol açar. (Minasny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ve McBratney, 2002: 353) Yapay sinir ağı, girdi katmanı oluşturulabilecek 4 atomlu zincir sayısı ile değişebilecek şekilde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geliştirilmiştir. Ek olarak potansiyel, girdi değişkenlerinin sürekli bir fonksiyonu ve girdilerin sıralanmasından bağımsız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olacak şekilde yapılandırılmaktadır (Bholoa vd., 2007: 3). </w:t>
      </w:r>
    </w:p>
    <w:p>
      <w:pPr>
        <w:autoSpaceDN w:val="0"/>
        <w:autoSpaceDE w:val="0"/>
        <w:widowControl/>
        <w:spacing w:line="245" w:lineRule="auto" w:before="118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Bir sinir ağının matematiksel modeli, ağırlıklarla birbirine bağlanan bir dizi basit fonksiyondan oluşmaktadır. Ağ, girişleri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çıkışlara bağlayan bir dizi giriş birimi x, çıkış birimi y ve gizli birim z’den oluşmaktadır. Gizli birimler, girdilerden yararlı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bilgiler çıkarır ve bunları çıktıları tahmin etmek için kullanır. Burada ele alınan NNET tipine çok katmanlı algılayıcı denir.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𝑥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𝑙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(𝑙= 1, … , 𝑁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öğelerin giriş vektörüne sahip bir ağ, gizli birim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𝑧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𝑗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 (𝑗= 1, … , 𝑁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ℎ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’yi verecek şekilde ağırlıkla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𝑤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𝑗𝑙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çarpılarak bir bağlantı aracılığı ile iletir. </w:t>
      </w:r>
    </w:p>
    <w:p>
      <w:pPr>
        <w:autoSpaceDN w:val="0"/>
        <w:autoSpaceDE w:val="0"/>
        <w:widowControl/>
        <w:spacing w:line="50" w:lineRule="auto" w:before="128" w:after="0"/>
        <w:ind w:left="0" w:right="5128" w:firstLine="0"/>
        <w:jc w:val="right"/>
      </w:pPr>
      <w:r>
        <w:rPr>
          <w:rFonts w:ascii="Cambria Math" w:hAnsi="Cambria Math" w:eastAsia="Cambria Math"/>
          <w:b w:val="0"/>
          <w:i w:val="0"/>
          <w:color w:val="000000"/>
          <w:sz w:val="16"/>
        </w:rPr>
        <w:t>𝑁</w:t>
      </w:r>
      <w:r>
        <w:rPr>
          <w:rFonts w:ascii="Cambria Math" w:hAnsi="Cambria Math" w:eastAsia="Cambria Math"/>
          <w:b w:val="0"/>
          <w:i w:val="0"/>
          <w:color w:val="000000"/>
          <w:sz w:val="13"/>
        </w:rPr>
        <w:t>𝑖</w:t>
      </w:r>
    </w:p>
    <w:p>
      <w:pPr>
        <w:autoSpaceDN w:val="0"/>
        <w:autoSpaceDE w:val="0"/>
        <w:widowControl/>
        <w:spacing w:line="48" w:lineRule="auto" w:before="126" w:after="0"/>
        <w:ind w:left="0" w:right="3982" w:firstLine="0"/>
        <w:jc w:val="righ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𝑧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𝑗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= ∑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𝑤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𝑗𝑙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𝑥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𝑙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+ 𝑤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𝑗𝑙</w:t>
      </w:r>
    </w:p>
    <w:p>
      <w:pPr>
        <w:autoSpaceDN w:val="0"/>
        <w:autoSpaceDE w:val="0"/>
        <w:widowControl/>
        <w:spacing w:line="43" w:lineRule="auto" w:before="78" w:after="0"/>
        <w:ind w:left="0" w:right="5074" w:firstLine="0"/>
        <w:jc w:val="right"/>
      </w:pPr>
      <w:r>
        <w:rPr>
          <w:rFonts w:ascii="Cambria Math" w:hAnsi="Cambria Math" w:eastAsia="Cambria Math"/>
          <w:b w:val="0"/>
          <w:i w:val="0"/>
          <w:color w:val="000000"/>
          <w:sz w:val="16"/>
        </w:rPr>
        <w:t>𝑙=1</w:t>
      </w:r>
    </w:p>
    <w:p>
      <w:pPr>
        <w:autoSpaceDN w:val="0"/>
        <w:autoSpaceDE w:val="0"/>
        <w:widowControl/>
        <w:spacing w:line="245" w:lineRule="auto" w:before="86" w:after="0"/>
        <w:ind w:left="0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Burada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𝑁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ℎ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, gizli birimlerin sayısı ve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𝑁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𝑖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 girdi birimlerinin sayısıdır. Gizli birimler, ağırlıklı girdi ve bir sapmadan (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𝑤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𝑗0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) oluşur.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Bu sapma, ağırlığa eklenen bir sabit olarak işlev gören, sabit girdisi 1 olan bir ağırlıktır. (Minasny ve McBratney, 2002: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353) </w:t>
      </w:r>
    </w:p>
    <w:p>
      <w:pPr>
        <w:autoSpaceDN w:val="0"/>
        <w:tabs>
          <w:tab w:pos="362" w:val="left"/>
        </w:tabs>
        <w:autoSpaceDE w:val="0"/>
        <w:widowControl/>
        <w:spacing w:line="245" w:lineRule="auto" w:before="120" w:after="0"/>
        <w:ind w:left="0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2"/>
        </w:rPr>
        <w:t>2.9.</w:t>
      </w: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Gauss Çekirdek Fonksiyonu ile Destek Vektör Makineleri (SVM-RBF) ve Polinomiyal Çekirdek Fonksiyonu ile </w:t>
      </w:r>
      <w:r>
        <w:tab/>
      </w: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Destek Vektör Makineleri (SVM-POLY): </w:t>
      </w:r>
    </w:p>
    <w:p>
      <w:pPr>
        <w:autoSpaceDN w:val="0"/>
        <w:autoSpaceDE w:val="0"/>
        <w:widowControl/>
        <w:spacing w:line="245" w:lineRule="auto" w:before="120" w:after="0"/>
        <w:ind w:left="0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Destek Vektör Makinesi (SVM) teorisi, 1990’larda Vapnik ve diğerleri tarafından yeni bir makine öğrenme yöntemi olarak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geliştirilmiştir. Uyarlanabilir ve basit model yapısı, kolay optimizasyon özellikleri ile özellikle sınırlı örnekler için istatistik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teorisine dayanmaktadır ve teorik olarak en iyi çözümü sunmaktadır. Yapısal risk minimizasyonu ilkesi altında iyi bir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genelleme yeteneğine sahiptir. Ayrıca desen tanıma, görüntü işleme, yüz tanıma, yüz algılama ve tahmin gibi birçok alanda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başarıyla uygulanmaktadır. Çekirdek işlevi, SVM için anahtar teknolojidir. Çekirdek işlevinin seçimi, makine öğreniminin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öğrenme ve genelleme yeteneğini etkilemektedir. Farklı çekirdek farklı doğrusal olmayan dönüşüm ve özellik uzayını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belirlemektedir. Bu nedenle SVM’yi eğitmek için farklı çekirdek seçmek farklı sınıflandırma anlamına gelmektedir. (Gao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vd., 2008: 1) Çekirdeklerden bazıları; doğrusal çekirdek, polinom çekirdeği ve RBF çekirdeğidir. (Gopi vd., 2020: 5) </w:t>
      </w:r>
    </w:p>
    <w:p>
      <w:pPr>
        <w:autoSpaceDN w:val="0"/>
        <w:autoSpaceDE w:val="0"/>
        <w:widowControl/>
        <w:spacing w:line="245" w:lineRule="auto" w:before="120" w:after="0"/>
        <w:ind w:left="0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Genel olarak, RBF çekirdeği makul bir ilk tercihtir. Bu çekirdek, örnekleri daha yüksek boyutlu bir uzaya doğrusal olmayan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bir şekilde eşlemektedir. Böylece doğrusal çekirdeğin aksine, sınıf etiketleri ve nitelikler arasındaki ilişkinin doğrusal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olmadığı durumunu da işleyebilir. Polinom çekirdeği, RBF çekirdeğinden daha fazla model seçiminin karmaşıklığını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etkileyen hiperparametreye ve daha az sayısal zorluğa sahiptir (Hsu vd., 2003: 4). </w:t>
      </w:r>
    </w:p>
    <w:p>
      <w:pPr>
        <w:autoSpaceDN w:val="0"/>
        <w:autoSpaceDE w:val="0"/>
        <w:widowControl/>
        <w:spacing w:line="240" w:lineRule="auto" w:before="122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RBF çekirdek fonksiyonun matematiksel ifadesi, </w:t>
      </w:r>
    </w:p>
    <w:p>
      <w:pPr>
        <w:autoSpaceDN w:val="0"/>
        <w:autoSpaceDE w:val="0"/>
        <w:widowControl/>
        <w:spacing w:line="50" w:lineRule="auto" w:before="128" w:after="0"/>
        <w:ind w:left="0" w:right="0" w:firstLine="0"/>
        <w:jc w:val="center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K(x, x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′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) = exp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(−γ∥x −x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′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∥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38" w:lineRule="auto" w:before="848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1008 </w:t>
      </w:r>
    </w:p>
    <w:p>
      <w:pPr>
        <w:sectPr>
          <w:pgSz w:w="11906" w:h="16838"/>
          <w:pgMar w:top="340" w:right="1062" w:bottom="284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2" w:firstLine="0"/>
        <w:jc w:val="right"/>
      </w:pP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[ GUSBID ] Gümüşhane Üniversitesi Sosyal Bilimler Dergisi, Yıl: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2023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Cilt: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14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>Sayı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>: 3</w:t>
      </w:r>
    </w:p>
    <w:p>
      <w:pPr>
        <w:autoSpaceDN w:val="0"/>
        <w:tabs>
          <w:tab w:pos="4846" w:val="left"/>
        </w:tabs>
        <w:autoSpaceDE w:val="0"/>
        <w:widowControl/>
        <w:spacing w:line="245" w:lineRule="auto" w:before="224" w:after="0"/>
        <w:ind w:left="4446" w:right="4464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y =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1 </w:t>
      </w:r>
      <w:r>
        <w:br/>
      </w: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2σ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2</w:t>
      </w:r>
    </w:p>
    <w:p>
      <w:pPr>
        <w:autoSpaceDN w:val="0"/>
        <w:autoSpaceDE w:val="0"/>
        <w:widowControl/>
        <w:spacing w:line="245" w:lineRule="auto" w:before="78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olarak gösterilmektedir. Denklemde yer alan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x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ve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x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′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RBF çekirdeğinin iki örneğini ve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σ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ise serbest parametreyi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simgelemektedir. (Çetin Taş ve Müngen, 2021: 384). </w:t>
      </w:r>
    </w:p>
    <w:p>
      <w:pPr>
        <w:autoSpaceDN w:val="0"/>
        <w:autoSpaceDE w:val="0"/>
        <w:widowControl/>
        <w:spacing w:line="240" w:lineRule="auto" w:before="118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SVM-POLY durumu, polinom fonksiyon çekirdeğine dayanır. Formu, </w:t>
      </w:r>
    </w:p>
    <w:p>
      <w:pPr>
        <w:autoSpaceDN w:val="0"/>
        <w:autoSpaceDE w:val="0"/>
        <w:widowControl/>
        <w:spacing w:line="50" w:lineRule="auto" w:before="130" w:after="0"/>
        <w:ind w:left="0" w:right="0" w:firstLine="0"/>
        <w:jc w:val="center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K(x, y) = [x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T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y + θ]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p</w:t>
      </w:r>
    </w:p>
    <w:p>
      <w:pPr>
        <w:autoSpaceDN w:val="0"/>
        <w:autoSpaceDE w:val="0"/>
        <w:widowControl/>
        <w:spacing w:line="245" w:lineRule="auto" w:before="126" w:after="0"/>
        <w:ind w:left="0" w:right="24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şeklinde verilmektedir. Burada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p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, polinomun derecesidir ve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θ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, değerlerini genellikle tamsayı uzayından alan serbest bir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parametredir. Ancak Hessian matrisinin sıfır olmasını engellediği için θ=1 tercih edilir. RBF’de olduğu gibi, serbest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bir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 C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parametresi tanımlanır. (Vafeiadis vd., 2018: 87) SVM-polinom çekirdeğinin formülü ise </w:t>
      </w:r>
    </w:p>
    <w:p>
      <w:pPr>
        <w:autoSpaceDN w:val="0"/>
        <w:autoSpaceDE w:val="0"/>
        <w:widowControl/>
        <w:spacing w:line="72" w:lineRule="auto" w:before="136" w:after="0"/>
        <w:ind w:left="0" w:right="0" w:firstLine="0"/>
        <w:jc w:val="center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>K(x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i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, x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j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) = (γx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 xml:space="preserve">i 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T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 ⋅x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j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 + r) 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d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, γ &gt; 0</w:t>
      </w:r>
    </w:p>
    <w:p>
      <w:pPr>
        <w:autoSpaceDN w:val="0"/>
        <w:autoSpaceDE w:val="0"/>
        <w:widowControl/>
        <w:spacing w:line="240" w:lineRule="auto" w:before="324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şeklinde gösterilmektedir. (Mehdizadeh vd., 2017: 107). </w:t>
      </w:r>
    </w:p>
    <w:p>
      <w:pPr>
        <w:autoSpaceDN w:val="0"/>
        <w:autoSpaceDE w:val="0"/>
        <w:widowControl/>
        <w:spacing w:line="245" w:lineRule="auto" w:before="118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BIST 100 endeksinin yön tahmininde makine öğrenme algoritmalarının performansını değerlendirmek üzere doğruluk oranı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(ACC), F1-skoru (F1) ve Matthew korelasyon katsayısı (MCC) kullanılmıştır. Analiz bulguları çapraz geçerlilik yaklaşımı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kullanılarak eğitim ve test verileri üzerinden değerlendirilmiştir. Araştırma verilerinde eğitim ve test kümeleri sırasıyla %70-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%30, %80-%20 ve %90-%10 şeklinde üç dönem için ayrıştırılmıştır. Bu şekilde BIST 100 endeksinin yön tahmininde kısa,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orta ve uzun dönem tahmin sonuçları değerlendirilmiştir. </w:t>
      </w:r>
    </w:p>
    <w:p>
      <w:pPr>
        <w:autoSpaceDN w:val="0"/>
        <w:autoSpaceDE w:val="0"/>
        <w:widowControl/>
        <w:spacing w:line="245" w:lineRule="auto" w:before="120" w:after="0"/>
        <w:ind w:left="0" w:right="24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Makine öğrenme algoritmalarının parametreleri, eğitim verileri üzerinden 10 katmanlı çapraz geçerlilik yaklaşımı üzerinden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seçilmiştir. Eğitim ve test verileri ile analiz sonuçları 10 kez tekrarlanarak, seçilen parametrelere sahip modellerden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hareketle ACC, F1 ve MCC değerleri elde edilmiştir. </w:t>
      </w:r>
    </w:p>
    <w:p>
      <w:pPr>
        <w:autoSpaceDN w:val="0"/>
        <w:autoSpaceDE w:val="0"/>
        <w:widowControl/>
        <w:spacing w:line="245" w:lineRule="auto" w:before="120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Makine öğrenme uygulamalarında R programı kullanılmıştır (R Core Team, 2022). Analiz bulguları R programında yer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alan psych Revelle (2022), caret Kuhn (2022) ve mlr Bischl ve diğ. (2016) paketleri üzerinden elde edilmiştir. </w:t>
      </w:r>
    </w:p>
    <w:p>
      <w:pPr>
        <w:autoSpaceDN w:val="0"/>
        <w:autoSpaceDE w:val="0"/>
        <w:widowControl/>
        <w:spacing w:line="240" w:lineRule="auto" w:before="494" w:after="0"/>
        <w:ind w:left="0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2"/>
        </w:rPr>
        <w:t>3.</w:t>
      </w: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Bulgular </w:t>
      </w:r>
    </w:p>
    <w:p>
      <w:pPr>
        <w:autoSpaceDN w:val="0"/>
        <w:autoSpaceDE w:val="0"/>
        <w:widowControl/>
        <w:spacing w:line="240" w:lineRule="auto" w:before="118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Araştırmada yer alan değişkenlere ait tanımlayıcı istatistikler tablo 2’de verilmiştir. </w:t>
      </w:r>
    </w:p>
    <w:p>
      <w:pPr>
        <w:autoSpaceDN w:val="0"/>
        <w:autoSpaceDE w:val="0"/>
        <w:widowControl/>
        <w:spacing w:line="240" w:lineRule="auto" w:before="490" w:after="122"/>
        <w:ind w:left="0" w:right="0" w:firstLine="0"/>
        <w:jc w:val="center"/>
      </w:pP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Tablo 2. Araştırma Verilerine Ait Tanımlayıcı İstatistikler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942"/>
        <w:gridCol w:w="1942"/>
        <w:gridCol w:w="1942"/>
        <w:gridCol w:w="1942"/>
        <w:gridCol w:w="1942"/>
      </w:tblGrid>
      <w:tr>
        <w:trPr>
          <w:trHeight w:hRule="exact" w:val="236"/>
        </w:trPr>
        <w:tc>
          <w:tcPr>
            <w:tcW w:type="dxa" w:w="200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0"/>
              </w:rPr>
              <w:t xml:space="preserve">Değişken </w:t>
            </w:r>
          </w:p>
        </w:tc>
        <w:tc>
          <w:tcPr>
            <w:tcW w:type="dxa" w:w="19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0"/>
              </w:rPr>
              <w:t xml:space="preserve">Ort </w:t>
            </w:r>
          </w:p>
        </w:tc>
        <w:tc>
          <w:tcPr>
            <w:tcW w:type="dxa" w:w="19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0"/>
              </w:rPr>
              <w:t xml:space="preserve">SS </w:t>
            </w:r>
          </w:p>
        </w:tc>
        <w:tc>
          <w:tcPr>
            <w:tcW w:type="dxa" w:w="19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0"/>
              </w:rPr>
              <w:t xml:space="preserve">Min </w:t>
            </w:r>
          </w:p>
        </w:tc>
        <w:tc>
          <w:tcPr>
            <w:tcW w:type="dxa" w:w="19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0"/>
              </w:rPr>
              <w:t xml:space="preserve">Maks </w:t>
            </w:r>
          </w:p>
        </w:tc>
      </w:tr>
      <w:tr>
        <w:trPr>
          <w:trHeight w:hRule="exact" w:val="240"/>
        </w:trPr>
        <w:tc>
          <w:tcPr>
            <w:tcW w:type="dxa" w:w="200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BIST100 </w:t>
            </w:r>
          </w:p>
        </w:tc>
        <w:tc>
          <w:tcPr>
            <w:tcW w:type="dxa" w:w="19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737.10 </w:t>
            </w:r>
          </w:p>
        </w:tc>
        <w:tc>
          <w:tcPr>
            <w:tcW w:type="dxa" w:w="19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500.22 </w:t>
            </w:r>
          </w:p>
        </w:tc>
        <w:tc>
          <w:tcPr>
            <w:tcW w:type="dxa" w:w="19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88.42 </w:t>
            </w:r>
          </w:p>
        </w:tc>
        <w:tc>
          <w:tcPr>
            <w:tcW w:type="dxa" w:w="19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3179.99 </w:t>
            </w:r>
          </w:p>
        </w:tc>
      </w:tr>
      <w:tr>
        <w:trPr>
          <w:trHeight w:hRule="exact" w:val="240"/>
        </w:trPr>
        <w:tc>
          <w:tcPr>
            <w:tcW w:type="dxa" w:w="200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S&amp;P 500 </w:t>
            </w:r>
          </w:p>
        </w:tc>
        <w:tc>
          <w:tcPr>
            <w:tcW w:type="dxa" w:w="19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1934.33 </w:t>
            </w:r>
          </w:p>
        </w:tc>
        <w:tc>
          <w:tcPr>
            <w:tcW w:type="dxa" w:w="19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978.11 </w:t>
            </w:r>
          </w:p>
        </w:tc>
        <w:tc>
          <w:tcPr>
            <w:tcW w:type="dxa" w:w="19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735.09 </w:t>
            </w:r>
          </w:p>
        </w:tc>
        <w:tc>
          <w:tcPr>
            <w:tcW w:type="dxa" w:w="19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4766.18 </w:t>
            </w:r>
          </w:p>
        </w:tc>
      </w:tr>
      <w:tr>
        <w:trPr>
          <w:trHeight w:hRule="exact" w:val="240"/>
        </w:trPr>
        <w:tc>
          <w:tcPr>
            <w:tcW w:type="dxa" w:w="200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CAC40 </w:t>
            </w:r>
          </w:p>
        </w:tc>
        <w:tc>
          <w:tcPr>
            <w:tcW w:type="dxa" w:w="19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4541.00 </w:t>
            </w:r>
          </w:p>
        </w:tc>
        <w:tc>
          <w:tcPr>
            <w:tcW w:type="dxa" w:w="19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1006.91 </w:t>
            </w:r>
          </w:p>
        </w:tc>
        <w:tc>
          <w:tcPr>
            <w:tcW w:type="dxa" w:w="19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2618.46 </w:t>
            </w:r>
          </w:p>
        </w:tc>
        <w:tc>
          <w:tcPr>
            <w:tcW w:type="dxa" w:w="19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7153.03 </w:t>
            </w:r>
          </w:p>
        </w:tc>
      </w:tr>
      <w:tr>
        <w:trPr>
          <w:trHeight w:hRule="exact" w:val="240"/>
        </w:trPr>
        <w:tc>
          <w:tcPr>
            <w:tcW w:type="dxa" w:w="200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FTSE100 </w:t>
            </w:r>
          </w:p>
        </w:tc>
        <w:tc>
          <w:tcPr>
            <w:tcW w:type="dxa" w:w="19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6034.05 </w:t>
            </w:r>
          </w:p>
        </w:tc>
        <w:tc>
          <w:tcPr>
            <w:tcW w:type="dxa" w:w="19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1050.69 </w:t>
            </w:r>
          </w:p>
        </w:tc>
        <w:tc>
          <w:tcPr>
            <w:tcW w:type="dxa" w:w="19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3567.40 </w:t>
            </w:r>
          </w:p>
        </w:tc>
        <w:tc>
          <w:tcPr>
            <w:tcW w:type="dxa" w:w="19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7748.76 </w:t>
            </w:r>
          </w:p>
        </w:tc>
      </w:tr>
      <w:tr>
        <w:trPr>
          <w:trHeight w:hRule="exact" w:val="238"/>
        </w:trPr>
        <w:tc>
          <w:tcPr>
            <w:tcW w:type="dxa" w:w="200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NIKKEI225 </w:t>
            </w:r>
          </w:p>
        </w:tc>
        <w:tc>
          <w:tcPr>
            <w:tcW w:type="dxa" w:w="19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15980.06 </w:t>
            </w:r>
          </w:p>
        </w:tc>
        <w:tc>
          <w:tcPr>
            <w:tcW w:type="dxa" w:w="19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5959.66 </w:t>
            </w:r>
          </w:p>
        </w:tc>
        <w:tc>
          <w:tcPr>
            <w:tcW w:type="dxa" w:w="19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7568.42 </w:t>
            </w:r>
          </w:p>
        </w:tc>
        <w:tc>
          <w:tcPr>
            <w:tcW w:type="dxa" w:w="19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29452.66 </w:t>
            </w:r>
          </w:p>
        </w:tc>
      </w:tr>
      <w:tr>
        <w:trPr>
          <w:trHeight w:hRule="exact" w:val="240"/>
        </w:trPr>
        <w:tc>
          <w:tcPr>
            <w:tcW w:type="dxa" w:w="200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DAX </w:t>
            </w:r>
          </w:p>
        </w:tc>
        <w:tc>
          <w:tcPr>
            <w:tcW w:type="dxa" w:w="19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8519.93 </w:t>
            </w:r>
          </w:p>
        </w:tc>
        <w:tc>
          <w:tcPr>
            <w:tcW w:type="dxa" w:w="19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3522.23 </w:t>
            </w:r>
          </w:p>
        </w:tc>
        <w:tc>
          <w:tcPr>
            <w:tcW w:type="dxa" w:w="19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2423.87 </w:t>
            </w:r>
          </w:p>
        </w:tc>
        <w:tc>
          <w:tcPr>
            <w:tcW w:type="dxa" w:w="19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15884.86 </w:t>
            </w:r>
          </w:p>
        </w:tc>
      </w:tr>
      <w:tr>
        <w:trPr>
          <w:trHeight w:hRule="exact" w:val="240"/>
        </w:trPr>
        <w:tc>
          <w:tcPr>
            <w:tcW w:type="dxa" w:w="200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SHANGAICOMP </w:t>
            </w:r>
          </w:p>
        </w:tc>
        <w:tc>
          <w:tcPr>
            <w:tcW w:type="dxa" w:w="19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2646.88 </w:t>
            </w:r>
          </w:p>
        </w:tc>
        <w:tc>
          <w:tcPr>
            <w:tcW w:type="dxa" w:w="19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887.11 </w:t>
            </w:r>
          </w:p>
        </w:tc>
        <w:tc>
          <w:tcPr>
            <w:tcW w:type="dxa" w:w="19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1060.74 </w:t>
            </w:r>
          </w:p>
        </w:tc>
        <w:tc>
          <w:tcPr>
            <w:tcW w:type="dxa" w:w="19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5954.77 </w:t>
            </w:r>
          </w:p>
        </w:tc>
      </w:tr>
      <w:tr>
        <w:trPr>
          <w:trHeight w:hRule="exact" w:val="240"/>
        </w:trPr>
        <w:tc>
          <w:tcPr>
            <w:tcW w:type="dxa" w:w="200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ONSUSD </w:t>
            </w:r>
          </w:p>
        </w:tc>
        <w:tc>
          <w:tcPr>
            <w:tcW w:type="dxa" w:w="19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1141.54 </w:t>
            </w:r>
          </w:p>
        </w:tc>
        <w:tc>
          <w:tcPr>
            <w:tcW w:type="dxa" w:w="19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466.51 </w:t>
            </w:r>
          </w:p>
        </w:tc>
        <w:tc>
          <w:tcPr>
            <w:tcW w:type="dxa" w:w="19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317.80 </w:t>
            </w:r>
          </w:p>
        </w:tc>
        <w:tc>
          <w:tcPr>
            <w:tcW w:type="dxa" w:w="19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1975.89 </w:t>
            </w:r>
          </w:p>
        </w:tc>
      </w:tr>
      <w:tr>
        <w:trPr>
          <w:trHeight w:hRule="exact" w:val="238"/>
        </w:trPr>
        <w:tc>
          <w:tcPr>
            <w:tcW w:type="dxa" w:w="200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USDTRY </w:t>
            </w:r>
          </w:p>
        </w:tc>
        <w:tc>
          <w:tcPr>
            <w:tcW w:type="dxa" w:w="19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3.38 </w:t>
            </w:r>
          </w:p>
        </w:tc>
        <w:tc>
          <w:tcPr>
            <w:tcW w:type="dxa" w:w="19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3.35 </w:t>
            </w:r>
          </w:p>
        </w:tc>
        <w:tc>
          <w:tcPr>
            <w:tcW w:type="dxa" w:w="19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1.16 </w:t>
            </w:r>
          </w:p>
        </w:tc>
        <w:tc>
          <w:tcPr>
            <w:tcW w:type="dxa" w:w="19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18.50 </w:t>
            </w:r>
          </w:p>
        </w:tc>
      </w:tr>
      <w:tr>
        <w:trPr>
          <w:trHeight w:hRule="exact" w:val="240"/>
        </w:trPr>
        <w:tc>
          <w:tcPr>
            <w:tcW w:type="dxa" w:w="200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VIX </w:t>
            </w:r>
          </w:p>
        </w:tc>
        <w:tc>
          <w:tcPr>
            <w:tcW w:type="dxa" w:w="190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19.73 </w:t>
            </w:r>
          </w:p>
        </w:tc>
        <w:tc>
          <w:tcPr>
            <w:tcW w:type="dxa" w:w="19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8.42 </w:t>
            </w:r>
          </w:p>
        </w:tc>
        <w:tc>
          <w:tcPr>
            <w:tcW w:type="dxa" w:w="19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9.51 </w:t>
            </w:r>
          </w:p>
        </w:tc>
        <w:tc>
          <w:tcPr>
            <w:tcW w:type="dxa" w:w="19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59.89 </w:t>
            </w:r>
          </w:p>
        </w:tc>
      </w:tr>
      <w:tr>
        <w:trPr>
          <w:trHeight w:hRule="exact" w:val="240"/>
        </w:trPr>
        <w:tc>
          <w:tcPr>
            <w:tcW w:type="dxa" w:w="2004"/>
            <w:tcBorders>
              <w:start w:sz="4.0" w:val="single" w:color="#000000"/>
              <w:top w:sz="4.0" w:val="single" w:color="#000000"/>
              <w:end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REPO </w:t>
            </w:r>
          </w:p>
        </w:tc>
        <w:tc>
          <w:tcPr>
            <w:tcW w:type="dxa" w:w="1906"/>
            <w:tcBorders>
              <w:start w:sz="3.2000000000000455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15.94 </w:t>
            </w:r>
          </w:p>
        </w:tc>
        <w:tc>
          <w:tcPr>
            <w:tcW w:type="dxa" w:w="1906"/>
            <w:tcBorders>
              <w:start w:sz="4.0" w:val="single" w:color="#000000"/>
              <w:top w:sz="4.0" w:val="single" w:color="#000000"/>
              <w:end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11.09 </w:t>
            </w:r>
          </w:p>
        </w:tc>
        <w:tc>
          <w:tcPr>
            <w:tcW w:type="dxa" w:w="19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4.10 </w:t>
            </w:r>
          </w:p>
        </w:tc>
        <w:tc>
          <w:tcPr>
            <w:tcW w:type="dxa" w:w="19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58.97 </w:t>
            </w:r>
          </w:p>
        </w:tc>
      </w:tr>
    </w:tbl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18"/>
        </w:rPr>
        <w:t xml:space="preserve">Not: </w:t>
      </w:r>
      <w:r>
        <w:rPr>
          <w:rFonts w:ascii="Arial Narrow" w:hAnsi="Arial Narrow" w:eastAsia="Arial Narrow"/>
          <w:b w:val="0"/>
          <w:i w:val="0"/>
          <w:color w:val="000000"/>
          <w:sz w:val="18"/>
        </w:rPr>
        <w:t xml:space="preserve">Ort: Aritmetik ortalama, SS: Standart sapma, Min: Minimum değer, Maks: Maksimum değer </w:t>
      </w:r>
    </w:p>
    <w:p>
      <w:pPr>
        <w:autoSpaceDN w:val="0"/>
        <w:autoSpaceDE w:val="0"/>
        <w:widowControl/>
        <w:spacing w:line="245" w:lineRule="auto" w:before="118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Tablo 2’de araştırmada bağımlı ve bağımsız değişken olarak kullanılan finansal verilerin tanımlayıcı istatistikleri verilmiştir.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Tüm borsa verileri ve kur fiyatlamaları için ortalama, standart sapma, minimum ve maksimum değerleri hesaplanmıştır. </w:t>
      </w:r>
    </w:p>
    <w:p>
      <w:pPr>
        <w:autoSpaceDN w:val="0"/>
        <w:autoSpaceDE w:val="0"/>
        <w:widowControl/>
        <w:spacing w:line="245" w:lineRule="auto" w:before="120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Tablo 3’te BIST 100 endeksinin yön tahmini için kullanılan dokuz farklı algoritma için seçilen düzenleme parametre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değerleri verilmiştir. </w:t>
      </w:r>
    </w:p>
    <w:p>
      <w:pPr>
        <w:autoSpaceDN w:val="0"/>
        <w:autoSpaceDE w:val="0"/>
        <w:widowControl/>
        <w:spacing w:line="238" w:lineRule="auto" w:before="1816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1009 </w:t>
      </w:r>
    </w:p>
    <w:p>
      <w:pPr>
        <w:sectPr>
          <w:pgSz w:w="11906" w:h="16838"/>
          <w:pgMar w:top="340" w:right="1062" w:bottom="284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0" w:firstLine="0"/>
        <w:jc w:val="right"/>
      </w:pP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[ GUSBID ] Gümüşhane Üniversitesi Sosyal Bilimler Dergisi, Yıl: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2023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Cilt: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14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>Sayı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>: 3</w:t>
      </w:r>
    </w:p>
    <w:p>
      <w:pPr>
        <w:autoSpaceDN w:val="0"/>
        <w:autoSpaceDE w:val="0"/>
        <w:widowControl/>
        <w:spacing w:line="240" w:lineRule="auto" w:before="218" w:after="124"/>
        <w:ind w:left="0" w:right="0" w:firstLine="0"/>
        <w:jc w:val="center"/>
      </w:pP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Tablo 3. Makine Öğrenme Algoritmalarının Düzenleme Parametreleri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855"/>
        <w:gridCol w:w="4855"/>
      </w:tblGrid>
      <w:tr>
        <w:trPr>
          <w:trHeight w:hRule="exact" w:val="438"/>
        </w:trPr>
        <w:tc>
          <w:tcPr>
            <w:tcW w:type="dxa" w:w="1626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0"/>
              </w:rPr>
              <w:t xml:space="preserve">Algoritma </w:t>
            </w:r>
          </w:p>
        </w:tc>
        <w:tc>
          <w:tcPr>
            <w:tcW w:type="dxa" w:w="8006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0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0"/>
              </w:rPr>
              <w:t xml:space="preserve">Parametreler </w:t>
            </w:r>
          </w:p>
        </w:tc>
      </w:tr>
      <w:tr>
        <w:trPr>
          <w:trHeight w:hRule="exact" w:val="440"/>
        </w:trPr>
        <w:tc>
          <w:tcPr>
            <w:tcW w:type="dxa" w:w="16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LR </w:t>
            </w:r>
          </w:p>
        </w:tc>
        <w:tc>
          <w:tcPr>
            <w:tcW w:type="dxa" w:w="8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7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- </w:t>
            </w:r>
          </w:p>
        </w:tc>
      </w:tr>
      <w:tr>
        <w:trPr>
          <w:trHeight w:hRule="exact" w:val="440"/>
        </w:trPr>
        <w:tc>
          <w:tcPr>
            <w:tcW w:type="dxa" w:w="16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LDA </w:t>
            </w:r>
          </w:p>
        </w:tc>
        <w:tc>
          <w:tcPr>
            <w:tcW w:type="dxa" w:w="8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- </w:t>
            </w:r>
          </w:p>
        </w:tc>
      </w:tr>
      <w:tr>
        <w:trPr>
          <w:trHeight w:hRule="exact" w:val="438"/>
        </w:trPr>
        <w:tc>
          <w:tcPr>
            <w:tcW w:type="dxa" w:w="16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NB </w:t>
            </w:r>
          </w:p>
        </w:tc>
        <w:tc>
          <w:tcPr>
            <w:tcW w:type="dxa" w:w="80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7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çekirdek=(var,yok), düzeltme parametresi=(0.1,0.2,0.3,0.4,0.5),                         fL=(0.1,0.2,0.3,0.4,0.5) </w:t>
            </w:r>
          </w:p>
        </w:tc>
      </w:tr>
      <w:tr>
        <w:trPr>
          <w:trHeight w:hRule="exact" w:val="440"/>
        </w:trPr>
        <w:tc>
          <w:tcPr>
            <w:tcW w:type="dxa" w:w="16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RF </w:t>
            </w:r>
          </w:p>
        </w:tc>
        <w:tc>
          <w:tcPr>
            <w:tcW w:type="dxa" w:w="8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mtry=(1,2,3,4,5,6,7,8,9,10) </w:t>
            </w:r>
          </w:p>
        </w:tc>
      </w:tr>
      <w:tr>
        <w:trPr>
          <w:trHeight w:hRule="exact" w:val="438"/>
        </w:trPr>
        <w:tc>
          <w:tcPr>
            <w:tcW w:type="dxa" w:w="16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KNN </w:t>
            </w:r>
          </w:p>
        </w:tc>
        <w:tc>
          <w:tcPr>
            <w:tcW w:type="dxa" w:w="8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k=(1,3,5,7,9) </w:t>
            </w:r>
          </w:p>
        </w:tc>
      </w:tr>
      <w:tr>
        <w:trPr>
          <w:trHeight w:hRule="exact" w:val="442"/>
        </w:trPr>
        <w:tc>
          <w:tcPr>
            <w:tcW w:type="dxa" w:w="16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CART </w:t>
            </w:r>
          </w:p>
        </w:tc>
        <w:tc>
          <w:tcPr>
            <w:tcW w:type="dxa" w:w="8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7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cp=(0.01,0.02,0.03,0.04,0.05,0.06,0.07,0.08,0.09,1) </w:t>
            </w:r>
          </w:p>
        </w:tc>
      </w:tr>
      <w:tr>
        <w:trPr>
          <w:trHeight w:hRule="exact" w:val="440"/>
        </w:trPr>
        <w:tc>
          <w:tcPr>
            <w:tcW w:type="dxa" w:w="16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NNET </w:t>
            </w:r>
          </w:p>
        </w:tc>
        <w:tc>
          <w:tcPr>
            <w:tcW w:type="dxa" w:w="8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wdec=c(0.001,0.002, 0.003, 0.004, 0.005, 0.006, 0.007, 0.008, 0.009, 0.010),     nöron sayısı=c(2,3,4,5,6,7,8) </w:t>
            </w:r>
          </w:p>
        </w:tc>
      </w:tr>
      <w:tr>
        <w:trPr>
          <w:trHeight w:hRule="exact" w:val="870"/>
        </w:trPr>
        <w:tc>
          <w:tcPr>
            <w:tcW w:type="dxa" w:w="16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SVM-RBF </w:t>
            </w:r>
          </w:p>
        </w:tc>
        <w:tc>
          <w:tcPr>
            <w:tcW w:type="dxa" w:w="8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0" w:after="0"/>
              <w:ind w:left="70" w:right="504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sigma=(0.01,0.02,.0.03,0.04,0.05), </w:t>
            </w:r>
            <w:r>
              <w:br/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C=(0.25,0.50,0.75,1,1.25,1.50,1.75,2) </w:t>
            </w:r>
          </w:p>
        </w:tc>
      </w:tr>
      <w:tr>
        <w:trPr>
          <w:trHeight w:hRule="exact" w:val="434"/>
        </w:trPr>
        <w:tc>
          <w:tcPr>
            <w:tcW w:type="dxa" w:w="1626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SVM-POLY </w:t>
            </w:r>
          </w:p>
        </w:tc>
        <w:tc>
          <w:tcPr>
            <w:tcW w:type="dxa" w:w="8006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7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derece=(1,2), ölçek=(0.01,0.02,.0.03,0.04,0.05), C=(0.25,0.50,0.75,1,1.25,1.50,1.75,2) 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0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2"/>
        </w:rPr>
        <w:t>Not:wdec: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Ağırlık a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zaltımı, </w:t>
      </w:r>
      <w:r>
        <w:rPr>
          <w:rFonts w:ascii="Arial Narrow" w:hAnsi="Arial Narrow" w:eastAsia="Arial Narrow"/>
          <w:b/>
          <w:i w:val="0"/>
          <w:color w:val="000000"/>
          <w:sz w:val="22"/>
        </w:rPr>
        <w:t>mtry: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Deneme sayısı, </w:t>
      </w:r>
      <w:r>
        <w:rPr>
          <w:rFonts w:ascii="Arial Narrow" w:hAnsi="Arial Narrow" w:eastAsia="Arial Narrow"/>
          <w:b/>
          <w:i w:val="0"/>
          <w:color w:val="000000"/>
          <w:sz w:val="22"/>
        </w:rPr>
        <w:t>fL: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Laplace düzeltmesi, </w:t>
      </w:r>
      <w:r>
        <w:rPr>
          <w:rFonts w:ascii="Arial Narrow" w:hAnsi="Arial Narrow" w:eastAsia="Arial Narrow"/>
          <w:b/>
          <w:i w:val="0"/>
          <w:color w:val="000000"/>
          <w:sz w:val="22"/>
        </w:rPr>
        <w:t>cp: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Karmaşıklık parametresi, </w:t>
      </w:r>
      <w:r>
        <w:rPr>
          <w:rFonts w:ascii="Arial Narrow" w:hAnsi="Arial Narrow" w:eastAsia="Arial Narrow"/>
          <w:b/>
          <w:i w:val="0"/>
          <w:color w:val="000000"/>
          <w:sz w:val="22"/>
        </w:rPr>
        <w:t>Not: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NNET için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tek katman kullanılmıştır. </w:t>
      </w:r>
    </w:p>
    <w:p>
      <w:pPr>
        <w:autoSpaceDN w:val="0"/>
        <w:autoSpaceDE w:val="0"/>
        <w:widowControl/>
        <w:spacing w:line="245" w:lineRule="auto" w:before="120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Tabloya bakıldığında bu düzenleme parametreleri arasından 10 katlı çapraz geçerlilik tekniği ile en uygun değerler,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doğruluk oranını (ACC) en iyi yapacak şekilde seçilmiştir. </w:t>
      </w:r>
    </w:p>
    <w:p>
      <w:pPr>
        <w:autoSpaceDN w:val="0"/>
        <w:autoSpaceDE w:val="0"/>
        <w:widowControl/>
        <w:spacing w:line="238" w:lineRule="auto" w:before="492" w:after="124"/>
        <w:ind w:left="0" w:right="0" w:firstLine="0"/>
        <w:jc w:val="center"/>
      </w:pP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Tablo 4. Eğitim Verilerine Ait Performans Ölçütlerinin İstatistiksel Bulguları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</w:tblGrid>
      <w:tr>
        <w:trPr>
          <w:trHeight w:hRule="exact" w:val="870"/>
        </w:trPr>
        <w:tc>
          <w:tcPr>
            <w:tcW w:type="dxa" w:w="153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8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Algoritma </w:t>
            </w:r>
          </w:p>
        </w:tc>
        <w:tc>
          <w:tcPr>
            <w:tcW w:type="dxa" w:w="256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0" w:after="0"/>
              <w:ind w:left="66" w:right="144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Uzun dönem </w:t>
            </w:r>
            <w:r>
              <w:br/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(%70-%30) </w:t>
            </w:r>
          </w:p>
        </w:tc>
        <w:tc>
          <w:tcPr>
            <w:tcW w:type="dxa" w:w="2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60"/>
            <w:gridSpan w:val="3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0" w:after="0"/>
              <w:ind w:left="68" w:right="144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Orta dönem </w:t>
            </w:r>
            <w:r>
              <w:br/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%80-%20 </w:t>
            </w:r>
          </w:p>
        </w:tc>
        <w:tc>
          <w:tcPr>
            <w:tcW w:type="dxa" w:w="20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8"/>
            <w:gridSpan w:val="3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0" w:after="0"/>
              <w:ind w:left="68" w:right="144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Kısa dönem </w:t>
            </w:r>
            <w:r>
              <w:br/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%90-%10 </w:t>
            </w:r>
          </w:p>
        </w:tc>
      </w:tr>
      <w:tr>
        <w:trPr>
          <w:trHeight w:hRule="exact" w:val="436"/>
        </w:trPr>
        <w:tc>
          <w:tcPr>
            <w:tcW w:type="dxa" w:w="80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ACC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F1 </w:t>
            </w:r>
          </w:p>
        </w:tc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MCC </w:t>
            </w:r>
          </w:p>
        </w:tc>
        <w:tc>
          <w:tcPr>
            <w:tcW w:type="dxa" w:w="2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8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ACC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F1 </w:t>
            </w:r>
          </w:p>
        </w:tc>
        <w:tc>
          <w:tcPr>
            <w:tcW w:type="dxa" w:w="96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MCC </w:t>
            </w:r>
          </w:p>
        </w:tc>
        <w:tc>
          <w:tcPr>
            <w:tcW w:type="dxa" w:w="20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88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ACC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F1 </w:t>
            </w:r>
          </w:p>
        </w:tc>
        <w:tc>
          <w:tcPr>
            <w:tcW w:type="dxa" w:w="9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MCC </w:t>
            </w:r>
          </w:p>
        </w:tc>
      </w:tr>
      <w:tr>
        <w:trPr>
          <w:trHeight w:hRule="exact" w:val="440"/>
        </w:trPr>
        <w:tc>
          <w:tcPr>
            <w:tcW w:type="dxa" w:w="15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LR </w:t>
            </w:r>
          </w:p>
        </w:tc>
        <w:tc>
          <w:tcPr>
            <w:tcW w:type="dxa" w:w="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0.67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0.74 </w:t>
            </w:r>
          </w:p>
        </w:tc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0.31 </w:t>
            </w:r>
          </w:p>
        </w:tc>
        <w:tc>
          <w:tcPr>
            <w:tcW w:type="dxa" w:w="2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8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0.70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0.76 </w:t>
            </w:r>
          </w:p>
        </w:tc>
        <w:tc>
          <w:tcPr>
            <w:tcW w:type="dxa" w:w="96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0.37 </w:t>
            </w:r>
          </w:p>
        </w:tc>
        <w:tc>
          <w:tcPr>
            <w:tcW w:type="dxa" w:w="20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88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0.69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0.76 </w:t>
            </w:r>
          </w:p>
        </w:tc>
        <w:tc>
          <w:tcPr>
            <w:tcW w:type="dxa" w:w="9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0.35 </w:t>
            </w:r>
          </w:p>
        </w:tc>
      </w:tr>
      <w:tr>
        <w:trPr>
          <w:trHeight w:hRule="exact" w:val="442"/>
        </w:trPr>
        <w:tc>
          <w:tcPr>
            <w:tcW w:type="dxa" w:w="15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LDA </w:t>
            </w:r>
          </w:p>
        </w:tc>
        <w:tc>
          <w:tcPr>
            <w:tcW w:type="dxa" w:w="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0.68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0.75 </w:t>
            </w:r>
          </w:p>
        </w:tc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0.33 </w:t>
            </w:r>
          </w:p>
        </w:tc>
        <w:tc>
          <w:tcPr>
            <w:tcW w:type="dxa" w:w="2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0.71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0.77 </w:t>
            </w:r>
          </w:p>
        </w:tc>
        <w:tc>
          <w:tcPr>
            <w:tcW w:type="dxa" w:w="96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0.38 </w:t>
            </w:r>
          </w:p>
        </w:tc>
        <w:tc>
          <w:tcPr>
            <w:tcW w:type="dxa" w:w="20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0.69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0.76 </w:t>
            </w:r>
          </w:p>
        </w:tc>
        <w:tc>
          <w:tcPr>
            <w:tcW w:type="dxa" w:w="9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0.35 </w:t>
            </w:r>
          </w:p>
        </w:tc>
      </w:tr>
      <w:tr>
        <w:trPr>
          <w:trHeight w:hRule="exact" w:val="440"/>
        </w:trPr>
        <w:tc>
          <w:tcPr>
            <w:tcW w:type="dxa" w:w="15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NB </w:t>
            </w:r>
          </w:p>
        </w:tc>
        <w:tc>
          <w:tcPr>
            <w:tcW w:type="dxa" w:w="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0.65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0.72 </w:t>
            </w:r>
          </w:p>
        </w:tc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0.27 </w:t>
            </w:r>
          </w:p>
        </w:tc>
        <w:tc>
          <w:tcPr>
            <w:tcW w:type="dxa" w:w="2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0.70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0.75 </w:t>
            </w:r>
          </w:p>
        </w:tc>
        <w:tc>
          <w:tcPr>
            <w:tcW w:type="dxa" w:w="96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0.38 </w:t>
            </w:r>
          </w:p>
        </w:tc>
        <w:tc>
          <w:tcPr>
            <w:tcW w:type="dxa" w:w="20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0.66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0.71 </w:t>
            </w:r>
          </w:p>
        </w:tc>
        <w:tc>
          <w:tcPr>
            <w:tcW w:type="dxa" w:w="9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0.29 </w:t>
            </w:r>
          </w:p>
        </w:tc>
      </w:tr>
      <w:tr>
        <w:trPr>
          <w:trHeight w:hRule="exact" w:val="440"/>
        </w:trPr>
        <w:tc>
          <w:tcPr>
            <w:tcW w:type="dxa" w:w="15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RF </w:t>
            </w:r>
          </w:p>
        </w:tc>
        <w:tc>
          <w:tcPr>
            <w:tcW w:type="dxa" w:w="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2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96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20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9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1 </w:t>
            </w:r>
          </w:p>
        </w:tc>
      </w:tr>
      <w:tr>
        <w:trPr>
          <w:trHeight w:hRule="exact" w:val="440"/>
        </w:trPr>
        <w:tc>
          <w:tcPr>
            <w:tcW w:type="dxa" w:w="15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KNN </w:t>
            </w:r>
          </w:p>
        </w:tc>
        <w:tc>
          <w:tcPr>
            <w:tcW w:type="dxa" w:w="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0.77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0.82 </w:t>
            </w:r>
          </w:p>
        </w:tc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0.52 </w:t>
            </w:r>
          </w:p>
        </w:tc>
        <w:tc>
          <w:tcPr>
            <w:tcW w:type="dxa" w:w="2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0.74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0.79 </w:t>
            </w:r>
          </w:p>
        </w:tc>
        <w:tc>
          <w:tcPr>
            <w:tcW w:type="dxa" w:w="96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0.44 </w:t>
            </w:r>
          </w:p>
        </w:tc>
        <w:tc>
          <w:tcPr>
            <w:tcW w:type="dxa" w:w="20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0.67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0.74 </w:t>
            </w:r>
          </w:p>
        </w:tc>
        <w:tc>
          <w:tcPr>
            <w:tcW w:type="dxa" w:w="9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0.31 </w:t>
            </w:r>
          </w:p>
        </w:tc>
      </w:tr>
      <w:tr>
        <w:trPr>
          <w:trHeight w:hRule="exact" w:val="438"/>
        </w:trPr>
        <w:tc>
          <w:tcPr>
            <w:tcW w:type="dxa" w:w="15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CART </w:t>
            </w:r>
          </w:p>
        </w:tc>
        <w:tc>
          <w:tcPr>
            <w:tcW w:type="dxa" w:w="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0.69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0.77 </w:t>
            </w:r>
          </w:p>
        </w:tc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0.36 </w:t>
            </w:r>
          </w:p>
        </w:tc>
        <w:tc>
          <w:tcPr>
            <w:tcW w:type="dxa" w:w="2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0.71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0.79 </w:t>
            </w:r>
          </w:p>
        </w:tc>
        <w:tc>
          <w:tcPr>
            <w:tcW w:type="dxa" w:w="96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0.39 </w:t>
            </w:r>
          </w:p>
        </w:tc>
        <w:tc>
          <w:tcPr>
            <w:tcW w:type="dxa" w:w="20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0.60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0.75 </w:t>
            </w:r>
          </w:p>
        </w:tc>
        <w:tc>
          <w:tcPr>
            <w:tcW w:type="dxa" w:w="9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0.04 </w:t>
            </w:r>
          </w:p>
        </w:tc>
      </w:tr>
      <w:tr>
        <w:trPr>
          <w:trHeight w:hRule="exact" w:val="440"/>
        </w:trPr>
        <w:tc>
          <w:tcPr>
            <w:tcW w:type="dxa" w:w="15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NNET </w:t>
            </w:r>
          </w:p>
        </w:tc>
        <w:tc>
          <w:tcPr>
            <w:tcW w:type="dxa" w:w="8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0.94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0.95 </w:t>
            </w:r>
          </w:p>
        </w:tc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0.87 </w:t>
            </w:r>
          </w:p>
        </w:tc>
        <w:tc>
          <w:tcPr>
            <w:tcW w:type="dxa" w:w="20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0.92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0.94 </w:t>
            </w:r>
          </w:p>
        </w:tc>
        <w:tc>
          <w:tcPr>
            <w:tcW w:type="dxa" w:w="96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0.84 </w:t>
            </w:r>
          </w:p>
        </w:tc>
        <w:tc>
          <w:tcPr>
            <w:tcW w:type="dxa" w:w="20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0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0.87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0.90 </w:t>
            </w:r>
          </w:p>
        </w:tc>
        <w:tc>
          <w:tcPr>
            <w:tcW w:type="dxa" w:w="9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0.73 </w:t>
            </w:r>
          </w:p>
        </w:tc>
      </w:tr>
      <w:tr>
        <w:trPr>
          <w:trHeight w:hRule="exact" w:val="438"/>
        </w:trPr>
        <w:tc>
          <w:tcPr>
            <w:tcW w:type="dxa" w:w="15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SVM-RBF </w:t>
            </w:r>
          </w:p>
        </w:tc>
        <w:tc>
          <w:tcPr>
            <w:tcW w:type="dxa" w:w="8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0.62 </w:t>
            </w:r>
          </w:p>
        </w:tc>
        <w:tc>
          <w:tcPr>
            <w:tcW w:type="dxa" w:w="7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0.76 </w:t>
            </w:r>
          </w:p>
        </w:tc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0.12 </w:t>
            </w:r>
          </w:p>
        </w:tc>
        <w:tc>
          <w:tcPr>
            <w:tcW w:type="dxa" w:w="20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0.64 </w:t>
            </w:r>
          </w:p>
        </w:tc>
        <w:tc>
          <w:tcPr>
            <w:tcW w:type="dxa" w:w="71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0.77 </w:t>
            </w:r>
          </w:p>
        </w:tc>
        <w:tc>
          <w:tcPr>
            <w:tcW w:type="dxa" w:w="96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0.17 </w:t>
            </w:r>
          </w:p>
        </w:tc>
        <w:tc>
          <w:tcPr>
            <w:tcW w:type="dxa" w:w="208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0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0.61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0.75 </w:t>
            </w:r>
          </w:p>
        </w:tc>
        <w:tc>
          <w:tcPr>
            <w:tcW w:type="dxa" w:w="96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0.08 </w:t>
            </w:r>
          </w:p>
        </w:tc>
      </w:tr>
      <w:tr>
        <w:trPr>
          <w:trHeight w:hRule="exact" w:val="442"/>
        </w:trPr>
        <w:tc>
          <w:tcPr>
            <w:tcW w:type="dxa" w:w="153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SVM-POLY </w:t>
            </w:r>
          </w:p>
        </w:tc>
        <w:tc>
          <w:tcPr>
            <w:tcW w:type="dxa" w:w="8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0.63 </w:t>
            </w:r>
          </w:p>
        </w:tc>
        <w:tc>
          <w:tcPr>
            <w:tcW w:type="dxa" w:w="7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0.47 </w:t>
            </w:r>
          </w:p>
        </w:tc>
        <w:tc>
          <w:tcPr>
            <w:tcW w:type="dxa" w:w="9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0.17 </w:t>
            </w:r>
          </w:p>
        </w:tc>
        <w:tc>
          <w:tcPr>
            <w:tcW w:type="dxa" w:w="20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87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0.62 </w:t>
            </w:r>
          </w:p>
        </w:tc>
        <w:tc>
          <w:tcPr>
            <w:tcW w:type="dxa" w:w="716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0.59 </w:t>
            </w:r>
          </w:p>
        </w:tc>
        <w:tc>
          <w:tcPr>
            <w:tcW w:type="dxa" w:w="966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0.16 </w:t>
            </w:r>
          </w:p>
        </w:tc>
        <w:tc>
          <w:tcPr>
            <w:tcW w:type="dxa" w:w="208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880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0.60 </w:t>
            </w:r>
          </w:p>
        </w:tc>
        <w:tc>
          <w:tcPr>
            <w:tcW w:type="dxa" w:w="71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0.82 </w:t>
            </w:r>
          </w:p>
        </w:tc>
        <w:tc>
          <w:tcPr>
            <w:tcW w:type="dxa" w:w="96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0.09 </w:t>
            </w:r>
          </w:p>
        </w:tc>
      </w:tr>
    </w:tbl>
    <w:p>
      <w:pPr>
        <w:autoSpaceDN w:val="0"/>
        <w:autoSpaceDE w:val="0"/>
        <w:widowControl/>
        <w:spacing w:line="245" w:lineRule="auto" w:before="118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Tablo 4’te makine öğrenme algoritmalarının eğitim verilerine yönelik performans ölçütü sonuçları gösterilmektedir. Eğitim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verilerinde her üç dönem için de BIST 100 endeksinin yön tahmininde ACC, F1 ve MCC açısından en başarılı yöntem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RF olarak görülmektedir. </w:t>
      </w:r>
    </w:p>
    <w:p>
      <w:pPr>
        <w:autoSpaceDN w:val="0"/>
        <w:autoSpaceDE w:val="0"/>
        <w:widowControl/>
        <w:spacing w:line="238" w:lineRule="auto" w:before="1530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1010 </w:t>
      </w:r>
    </w:p>
    <w:p>
      <w:pPr>
        <w:sectPr>
          <w:pgSz w:w="11906" w:h="16838"/>
          <w:pgMar w:top="340" w:right="1064" w:bottom="284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0" w:firstLine="0"/>
        <w:jc w:val="right"/>
      </w:pP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[ GUSBID ] Gümüşhane Üniversitesi Sosyal Bilimler Dergisi, Yıl: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2023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Cilt: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14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>Sayı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>: 3</w:t>
      </w:r>
    </w:p>
    <w:p>
      <w:pPr>
        <w:autoSpaceDN w:val="0"/>
        <w:autoSpaceDE w:val="0"/>
        <w:widowControl/>
        <w:spacing w:line="240" w:lineRule="auto" w:before="218" w:after="124"/>
        <w:ind w:left="0" w:right="0" w:firstLine="0"/>
        <w:jc w:val="center"/>
      </w:pP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Tablo 5. Test Verilerine Ait Performans Ölçütlerinin İstatistiksel Bulguları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.999999999999915" w:type="dxa"/>
      </w:tblPr>
      <w:tblGrid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</w:tblGrid>
      <w:tr>
        <w:trPr>
          <w:trHeight w:hRule="exact" w:val="868"/>
        </w:trPr>
        <w:tc>
          <w:tcPr>
            <w:tcW w:type="dxa" w:w="1466"/>
            <w:vMerge w:val="restart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32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Algoritma </w:t>
            </w:r>
          </w:p>
        </w:tc>
        <w:tc>
          <w:tcPr>
            <w:tcW w:type="dxa" w:w="2580"/>
            <w:gridSpan w:val="3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0" w:after="0"/>
              <w:ind w:left="68" w:right="144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Uzun dönem </w:t>
            </w:r>
            <w:r>
              <w:br/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(%70-%30) </w:t>
            </w:r>
          </w:p>
        </w:tc>
        <w:tc>
          <w:tcPr>
            <w:tcW w:type="dxa" w:w="214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80"/>
            <w:gridSpan w:val="3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0" w:after="0"/>
              <w:ind w:left="66" w:right="158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Orta dönem </w:t>
            </w:r>
            <w:r>
              <w:br/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%80-%20 </w:t>
            </w:r>
          </w:p>
        </w:tc>
        <w:tc>
          <w:tcPr>
            <w:tcW w:type="dxa" w:w="214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78"/>
            <w:gridSpan w:val="3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0" w:after="0"/>
              <w:ind w:left="64" w:right="144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Kısa dönem </w:t>
            </w:r>
            <w:r>
              <w:br/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%90-%10 </w:t>
            </w:r>
          </w:p>
        </w:tc>
      </w:tr>
      <w:tr>
        <w:trPr>
          <w:trHeight w:hRule="exact" w:val="442"/>
        </w:trPr>
        <w:tc>
          <w:tcPr>
            <w:tcW w:type="dxa" w:w="811"/>
            <w:vMerge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8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ACC </w:t>
            </w:r>
          </w:p>
        </w:tc>
        <w:tc>
          <w:tcPr>
            <w:tcW w:type="dxa" w:w="7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F1 </w:t>
            </w:r>
          </w:p>
        </w:tc>
        <w:tc>
          <w:tcPr>
            <w:tcW w:type="dxa" w:w="9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MCC </w:t>
            </w:r>
          </w:p>
        </w:tc>
        <w:tc>
          <w:tcPr>
            <w:tcW w:type="dxa" w:w="2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8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ACC </w:t>
            </w:r>
          </w:p>
        </w:tc>
        <w:tc>
          <w:tcPr>
            <w:tcW w:type="dxa" w:w="72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F1 </w:t>
            </w:r>
          </w:p>
        </w:tc>
        <w:tc>
          <w:tcPr>
            <w:tcW w:type="dxa" w:w="9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MCC </w:t>
            </w:r>
          </w:p>
        </w:tc>
        <w:tc>
          <w:tcPr>
            <w:tcW w:type="dxa" w:w="2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8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ACC </w:t>
            </w:r>
          </w:p>
        </w:tc>
        <w:tc>
          <w:tcPr>
            <w:tcW w:type="dxa" w:w="7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F1 </w:t>
            </w:r>
          </w:p>
        </w:tc>
        <w:tc>
          <w:tcPr>
            <w:tcW w:type="dxa" w:w="9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MCC </w:t>
            </w:r>
          </w:p>
        </w:tc>
      </w:tr>
      <w:tr>
        <w:trPr>
          <w:trHeight w:hRule="exact" w:val="436"/>
        </w:trPr>
        <w:tc>
          <w:tcPr>
            <w:tcW w:type="dxa" w:w="14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LR </w:t>
            </w:r>
          </w:p>
        </w:tc>
        <w:tc>
          <w:tcPr>
            <w:tcW w:type="dxa" w:w="8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0.66 </w:t>
            </w:r>
          </w:p>
        </w:tc>
        <w:tc>
          <w:tcPr>
            <w:tcW w:type="dxa" w:w="7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0.77 </w:t>
            </w:r>
          </w:p>
        </w:tc>
        <w:tc>
          <w:tcPr>
            <w:tcW w:type="dxa" w:w="9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0.22 </w:t>
            </w:r>
          </w:p>
        </w:tc>
        <w:tc>
          <w:tcPr>
            <w:tcW w:type="dxa" w:w="2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8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0.65 </w:t>
            </w:r>
          </w:p>
        </w:tc>
        <w:tc>
          <w:tcPr>
            <w:tcW w:type="dxa" w:w="72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0.77 </w:t>
            </w:r>
          </w:p>
        </w:tc>
        <w:tc>
          <w:tcPr>
            <w:tcW w:type="dxa" w:w="9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0.16 </w:t>
            </w:r>
          </w:p>
        </w:tc>
        <w:tc>
          <w:tcPr>
            <w:tcW w:type="dxa" w:w="2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8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0.63 </w:t>
            </w:r>
          </w:p>
        </w:tc>
        <w:tc>
          <w:tcPr>
            <w:tcW w:type="dxa" w:w="7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0.69 </w:t>
            </w:r>
          </w:p>
        </w:tc>
        <w:tc>
          <w:tcPr>
            <w:tcW w:type="dxa" w:w="9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0.24 </w:t>
            </w:r>
          </w:p>
        </w:tc>
      </w:tr>
      <w:tr>
        <w:trPr>
          <w:trHeight w:hRule="exact" w:val="440"/>
        </w:trPr>
        <w:tc>
          <w:tcPr>
            <w:tcW w:type="dxa" w:w="14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LDA </w:t>
            </w:r>
          </w:p>
        </w:tc>
        <w:tc>
          <w:tcPr>
            <w:tcW w:type="dxa" w:w="8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0.66 </w:t>
            </w:r>
          </w:p>
        </w:tc>
        <w:tc>
          <w:tcPr>
            <w:tcW w:type="dxa" w:w="7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0.77 </w:t>
            </w:r>
          </w:p>
        </w:tc>
        <w:tc>
          <w:tcPr>
            <w:tcW w:type="dxa" w:w="9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0.22 </w:t>
            </w:r>
          </w:p>
        </w:tc>
        <w:tc>
          <w:tcPr>
            <w:tcW w:type="dxa" w:w="2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0.65 </w:t>
            </w:r>
          </w:p>
        </w:tc>
        <w:tc>
          <w:tcPr>
            <w:tcW w:type="dxa" w:w="72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0.77 </w:t>
            </w:r>
          </w:p>
        </w:tc>
        <w:tc>
          <w:tcPr>
            <w:tcW w:type="dxa" w:w="9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0.16 </w:t>
            </w:r>
          </w:p>
        </w:tc>
        <w:tc>
          <w:tcPr>
            <w:tcW w:type="dxa" w:w="2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0.63 </w:t>
            </w:r>
          </w:p>
        </w:tc>
        <w:tc>
          <w:tcPr>
            <w:tcW w:type="dxa" w:w="7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0.69 </w:t>
            </w:r>
          </w:p>
        </w:tc>
        <w:tc>
          <w:tcPr>
            <w:tcW w:type="dxa" w:w="9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0.24 </w:t>
            </w:r>
          </w:p>
        </w:tc>
      </w:tr>
      <w:tr>
        <w:trPr>
          <w:trHeight w:hRule="exact" w:val="440"/>
        </w:trPr>
        <w:tc>
          <w:tcPr>
            <w:tcW w:type="dxa" w:w="14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NB </w:t>
            </w:r>
          </w:p>
        </w:tc>
        <w:tc>
          <w:tcPr>
            <w:tcW w:type="dxa" w:w="88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0.38 </w:t>
            </w:r>
          </w:p>
        </w:tc>
        <w:tc>
          <w:tcPr>
            <w:tcW w:type="dxa" w:w="72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0.02 </w:t>
            </w:r>
          </w:p>
        </w:tc>
        <w:tc>
          <w:tcPr>
            <w:tcW w:type="dxa" w:w="97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-0.01 </w:t>
            </w:r>
          </w:p>
        </w:tc>
        <w:tc>
          <w:tcPr>
            <w:tcW w:type="dxa" w:w="21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0.44 </w:t>
            </w:r>
          </w:p>
        </w:tc>
        <w:tc>
          <w:tcPr>
            <w:tcW w:type="dxa" w:w="722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0.25 </w:t>
            </w:r>
          </w:p>
        </w:tc>
        <w:tc>
          <w:tcPr>
            <w:tcW w:type="dxa" w:w="97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0.11 </w:t>
            </w:r>
          </w:p>
        </w:tc>
        <w:tc>
          <w:tcPr>
            <w:tcW w:type="dxa" w:w="21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0.30 </w:t>
            </w:r>
          </w:p>
        </w:tc>
        <w:tc>
          <w:tcPr>
            <w:tcW w:type="dxa" w:w="72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0.03 </w:t>
            </w:r>
          </w:p>
        </w:tc>
        <w:tc>
          <w:tcPr>
            <w:tcW w:type="dxa" w:w="97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-0.19 </w:t>
            </w:r>
          </w:p>
        </w:tc>
      </w:tr>
      <w:tr>
        <w:trPr>
          <w:trHeight w:hRule="exact" w:val="438"/>
        </w:trPr>
        <w:tc>
          <w:tcPr>
            <w:tcW w:type="dxa" w:w="146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RF </w:t>
            </w:r>
          </w:p>
        </w:tc>
        <w:tc>
          <w:tcPr>
            <w:tcW w:type="dxa" w:w="88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0.47 </w:t>
            </w:r>
          </w:p>
        </w:tc>
        <w:tc>
          <w:tcPr>
            <w:tcW w:type="dxa" w:w="72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0.31 </w:t>
            </w:r>
          </w:p>
        </w:tc>
        <w:tc>
          <w:tcPr>
            <w:tcW w:type="dxa" w:w="97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0.12 </w:t>
            </w:r>
          </w:p>
        </w:tc>
        <w:tc>
          <w:tcPr>
            <w:tcW w:type="dxa" w:w="2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4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0.39 </w:t>
            </w:r>
          </w:p>
        </w:tc>
        <w:tc>
          <w:tcPr>
            <w:tcW w:type="dxa" w:w="722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0.11 </w:t>
            </w:r>
          </w:p>
        </w:tc>
        <w:tc>
          <w:tcPr>
            <w:tcW w:type="dxa" w:w="97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-0.01 </w:t>
            </w:r>
          </w:p>
        </w:tc>
        <w:tc>
          <w:tcPr>
            <w:tcW w:type="dxa" w:w="2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0.30 </w:t>
            </w:r>
          </w:p>
        </w:tc>
        <w:tc>
          <w:tcPr>
            <w:tcW w:type="dxa" w:w="72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0.00 </w:t>
            </w:r>
          </w:p>
        </w:tc>
        <w:tc>
          <w:tcPr>
            <w:tcW w:type="dxa" w:w="97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-0.24 </w:t>
            </w:r>
          </w:p>
        </w:tc>
      </w:tr>
      <w:tr>
        <w:trPr>
          <w:trHeight w:hRule="exact" w:val="440"/>
        </w:trPr>
        <w:tc>
          <w:tcPr>
            <w:tcW w:type="dxa" w:w="14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KNN </w:t>
            </w:r>
          </w:p>
        </w:tc>
        <w:tc>
          <w:tcPr>
            <w:tcW w:type="dxa" w:w="8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0.62 </w:t>
            </w:r>
          </w:p>
        </w:tc>
        <w:tc>
          <w:tcPr>
            <w:tcW w:type="dxa" w:w="7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0.71 </w:t>
            </w:r>
          </w:p>
        </w:tc>
        <w:tc>
          <w:tcPr>
            <w:tcW w:type="dxa" w:w="9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0.17 </w:t>
            </w:r>
          </w:p>
        </w:tc>
        <w:tc>
          <w:tcPr>
            <w:tcW w:type="dxa" w:w="2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0.45 </w:t>
            </w:r>
          </w:p>
        </w:tc>
        <w:tc>
          <w:tcPr>
            <w:tcW w:type="dxa" w:w="72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0.28 </w:t>
            </w:r>
          </w:p>
        </w:tc>
        <w:tc>
          <w:tcPr>
            <w:tcW w:type="dxa" w:w="9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0.00 </w:t>
            </w:r>
          </w:p>
        </w:tc>
        <w:tc>
          <w:tcPr>
            <w:tcW w:type="dxa" w:w="2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0.52 </w:t>
            </w:r>
          </w:p>
        </w:tc>
        <w:tc>
          <w:tcPr>
            <w:tcW w:type="dxa" w:w="7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0.54 </w:t>
            </w:r>
          </w:p>
        </w:tc>
        <w:tc>
          <w:tcPr>
            <w:tcW w:type="dxa" w:w="9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0.14 </w:t>
            </w:r>
          </w:p>
        </w:tc>
      </w:tr>
      <w:tr>
        <w:trPr>
          <w:trHeight w:hRule="exact" w:val="442"/>
        </w:trPr>
        <w:tc>
          <w:tcPr>
            <w:tcW w:type="dxa" w:w="14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CART </w:t>
            </w:r>
          </w:p>
        </w:tc>
        <w:tc>
          <w:tcPr>
            <w:tcW w:type="dxa" w:w="8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0.41 </w:t>
            </w:r>
          </w:p>
        </w:tc>
        <w:tc>
          <w:tcPr>
            <w:tcW w:type="dxa" w:w="7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0.13 </w:t>
            </w:r>
          </w:p>
        </w:tc>
        <w:tc>
          <w:tcPr>
            <w:tcW w:type="dxa" w:w="9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0.07 </w:t>
            </w:r>
          </w:p>
        </w:tc>
        <w:tc>
          <w:tcPr>
            <w:tcW w:type="dxa" w:w="2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0.46 </w:t>
            </w:r>
          </w:p>
        </w:tc>
        <w:tc>
          <w:tcPr>
            <w:tcW w:type="dxa" w:w="72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0.28 </w:t>
            </w:r>
          </w:p>
        </w:tc>
        <w:tc>
          <w:tcPr>
            <w:tcW w:type="dxa" w:w="9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0.11 </w:t>
            </w:r>
          </w:p>
        </w:tc>
        <w:tc>
          <w:tcPr>
            <w:tcW w:type="dxa" w:w="2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0.64 </w:t>
            </w:r>
          </w:p>
        </w:tc>
        <w:tc>
          <w:tcPr>
            <w:tcW w:type="dxa" w:w="7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0.73 </w:t>
            </w:r>
          </w:p>
        </w:tc>
        <w:tc>
          <w:tcPr>
            <w:tcW w:type="dxa" w:w="9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0.01 </w:t>
            </w:r>
          </w:p>
        </w:tc>
      </w:tr>
      <w:tr>
        <w:trPr>
          <w:trHeight w:hRule="exact" w:val="440"/>
        </w:trPr>
        <w:tc>
          <w:tcPr>
            <w:tcW w:type="dxa" w:w="14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NNET </w:t>
            </w:r>
          </w:p>
        </w:tc>
        <w:tc>
          <w:tcPr>
            <w:tcW w:type="dxa" w:w="8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0.54 </w:t>
            </w:r>
          </w:p>
        </w:tc>
        <w:tc>
          <w:tcPr>
            <w:tcW w:type="dxa" w:w="7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0.50 </w:t>
            </w:r>
          </w:p>
        </w:tc>
        <w:tc>
          <w:tcPr>
            <w:tcW w:type="dxa" w:w="9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0.07 </w:t>
            </w:r>
          </w:p>
        </w:tc>
        <w:tc>
          <w:tcPr>
            <w:tcW w:type="dxa" w:w="2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0.61 </w:t>
            </w:r>
          </w:p>
        </w:tc>
        <w:tc>
          <w:tcPr>
            <w:tcW w:type="dxa" w:w="72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0.71 </w:t>
            </w:r>
          </w:p>
        </w:tc>
        <w:tc>
          <w:tcPr>
            <w:tcW w:type="dxa" w:w="9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0.10 </w:t>
            </w:r>
          </w:p>
        </w:tc>
        <w:tc>
          <w:tcPr>
            <w:tcW w:type="dxa" w:w="2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0.60 </w:t>
            </w:r>
          </w:p>
        </w:tc>
        <w:tc>
          <w:tcPr>
            <w:tcW w:type="dxa" w:w="7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0.64 </w:t>
            </w:r>
          </w:p>
        </w:tc>
        <w:tc>
          <w:tcPr>
            <w:tcW w:type="dxa" w:w="9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0.18 </w:t>
            </w:r>
          </w:p>
        </w:tc>
      </w:tr>
      <w:tr>
        <w:trPr>
          <w:trHeight w:hRule="exact" w:val="440"/>
        </w:trPr>
        <w:tc>
          <w:tcPr>
            <w:tcW w:type="dxa" w:w="14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SVM-RBF </w:t>
            </w:r>
          </w:p>
        </w:tc>
        <w:tc>
          <w:tcPr>
            <w:tcW w:type="dxa" w:w="8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0.62 </w:t>
            </w:r>
          </w:p>
        </w:tc>
        <w:tc>
          <w:tcPr>
            <w:tcW w:type="dxa" w:w="7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0.77 </w:t>
            </w:r>
          </w:p>
        </w:tc>
        <w:tc>
          <w:tcPr>
            <w:tcW w:type="dxa" w:w="9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0.00 </w:t>
            </w:r>
          </w:p>
        </w:tc>
        <w:tc>
          <w:tcPr>
            <w:tcW w:type="dxa" w:w="2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0.63 </w:t>
            </w:r>
          </w:p>
        </w:tc>
        <w:tc>
          <w:tcPr>
            <w:tcW w:type="dxa" w:w="72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0.77 </w:t>
            </w:r>
          </w:p>
        </w:tc>
        <w:tc>
          <w:tcPr>
            <w:tcW w:type="dxa" w:w="9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0.00 </w:t>
            </w:r>
          </w:p>
        </w:tc>
        <w:tc>
          <w:tcPr>
            <w:tcW w:type="dxa" w:w="2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0.67 </w:t>
            </w:r>
          </w:p>
        </w:tc>
        <w:tc>
          <w:tcPr>
            <w:tcW w:type="dxa" w:w="7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0.80 </w:t>
            </w:r>
          </w:p>
        </w:tc>
        <w:tc>
          <w:tcPr>
            <w:tcW w:type="dxa" w:w="9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0.00 </w:t>
            </w:r>
          </w:p>
        </w:tc>
      </w:tr>
      <w:tr>
        <w:trPr>
          <w:trHeight w:hRule="exact" w:val="440"/>
        </w:trPr>
        <w:tc>
          <w:tcPr>
            <w:tcW w:type="dxa" w:w="14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SVM-POLY </w:t>
            </w:r>
          </w:p>
        </w:tc>
        <w:tc>
          <w:tcPr>
            <w:tcW w:type="dxa" w:w="88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0.52 </w:t>
            </w:r>
          </w:p>
        </w:tc>
        <w:tc>
          <w:tcPr>
            <w:tcW w:type="dxa" w:w="7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0.47 </w:t>
            </w:r>
          </w:p>
        </w:tc>
        <w:tc>
          <w:tcPr>
            <w:tcW w:type="dxa" w:w="9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0.13 </w:t>
            </w:r>
          </w:p>
        </w:tc>
        <w:tc>
          <w:tcPr>
            <w:tcW w:type="dxa" w:w="2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88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0.54 </w:t>
            </w:r>
          </w:p>
        </w:tc>
        <w:tc>
          <w:tcPr>
            <w:tcW w:type="dxa" w:w="72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0.59 </w:t>
            </w:r>
          </w:p>
        </w:tc>
        <w:tc>
          <w:tcPr>
            <w:tcW w:type="dxa" w:w="9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0.03 </w:t>
            </w:r>
          </w:p>
        </w:tc>
        <w:tc>
          <w:tcPr>
            <w:tcW w:type="dxa" w:w="2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8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 0.71 </w:t>
            </w:r>
          </w:p>
        </w:tc>
        <w:tc>
          <w:tcPr>
            <w:tcW w:type="dxa" w:w="72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0.82 </w:t>
            </w:r>
          </w:p>
        </w:tc>
        <w:tc>
          <w:tcPr>
            <w:tcW w:type="dxa" w:w="9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6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20"/>
              </w:rPr>
              <w:t xml:space="preserve">0.23 </w:t>
            </w:r>
          </w:p>
        </w:tc>
      </w:tr>
    </w:tbl>
    <w:p>
      <w:pPr>
        <w:autoSpaceDN w:val="0"/>
        <w:autoSpaceDE w:val="0"/>
        <w:widowControl/>
        <w:spacing w:line="245" w:lineRule="auto" w:before="116" w:after="0"/>
        <w:ind w:left="28" w:right="22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Tablo 5’te makine öğrenme algoritmalarının test verilerine yönelik performans ölçütü sonuçları yer almaktadır. Test verileri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incelediğinde, uzun ve orta dönem BIST 100 endeksinin yön tahmininde ACC, F1 ve MCC açısından LR ve LDA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algoritmalarının genel anlamda en başarılı sonuçlar ürettiği görülmektedir. Kısa dönemli BIST 100 endeksinin yön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tahmininde ise SVM-POLY sonuçları, ACC ve F1 açısından diğer algoritmalara kıyasla daha başarılıdır. Ancak MCC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açısından yine LR ve LDA teknikleri kısa dönemde de en başarılı performansa sahip yöntemler olarak göze çarpmaktadır. </w:t>
      </w:r>
    </w:p>
    <w:p>
      <w:pPr>
        <w:autoSpaceDN w:val="0"/>
        <w:autoSpaceDE w:val="0"/>
        <w:widowControl/>
        <w:spacing w:line="245" w:lineRule="auto" w:before="120" w:after="0"/>
        <w:ind w:left="28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Genel olarak test verileri incelendiğinde ele alınan değişkenler yardımıyla BIST 100 endeksinin orta ve uzun vadede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yönünü tahmin etmede en başarılı olan algoritmaların lojistik regresyon analizi ve lineer diskriminant analizi olduğu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görülmüştür. Bu analizlerin yanı sıra doğruluk oranının ve F1-skorunun da başarılı algoritmalar olduğu gözlenmiştir. Sonuç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olarak kısa, orta ve uzun dönemde lojistik regresyon analizi ve lineer diskriminant analizi algortimalarının başarı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performanslarının diğer algoritmalardan yüksek olduğu sonucuna ulaşılmıştır. </w:t>
      </w:r>
    </w:p>
    <w:p>
      <w:pPr>
        <w:autoSpaceDN w:val="0"/>
        <w:autoSpaceDE w:val="0"/>
        <w:widowControl/>
        <w:spacing w:line="245" w:lineRule="auto" w:before="120" w:after="0"/>
        <w:ind w:left="28" w:right="24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Bu bulgular, lojistik regresyon analizinin ve lineer diskriminant analizinin BIST 100 endeksinin orta ve uzun vadede yönünü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tahmin etmede başarılı algoritmalar olarak tanımlayan önceki çalışmalarla da tutarlıdır (Lu, 2010; Aser ve Firuzan, 2022).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Örneğin, Lu (2010) veri madenciliği, çıkarım ve tahmin de dâhil olmak üzere istatistiksel öğrenmenin unsurlarını tartışmakta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ve lojistik regresyon analizi ile doğrusal diskriminant analizinin çeşitli uygulamalardaki etkinliğini vurgulamaktadır. Ayrıca,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Bouwmeester ve diğerleri (2013) kümelenmiş veriler için tahmin modelleri üzerine karşılaştırmalı bir çalışma yürütmüş ve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rastgele kesmeli lojistik regresyon gibi rastgele etkili regresyon modellerinin standart regresyon modellerinden daha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başarılı sonuçlar verdiğini ortaya koymuştur. Bu durum regresyon tekniklerine dayanan LR ve LDA algoritmalarının BIST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100 endeks yönü için doğru tahminler sağlayabileceği fikrini desteklemektedir. Genel olarak, bu çalışmalardan elde edilen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kanıtlar lojistik regresyon analizi ve lineer diskriminant analizinin kısa, orta ve uzun vadede BIST 100 endeksinin yönünü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tahmin etmek için en başarılı algoritmalar olduğunu göstermektedir. Bu algoritmalar çeşitli çalışmalarda yüksek doğruluk,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F1-skoru ve MCC göstererek BIST 100 endeksinin yönünü tahmin etmek için güvenilir seçenekler haline gelmiştir. </w:t>
      </w:r>
    </w:p>
    <w:p>
      <w:pPr>
        <w:autoSpaceDN w:val="0"/>
        <w:autoSpaceDE w:val="0"/>
        <w:widowControl/>
        <w:spacing w:line="238" w:lineRule="auto" w:before="492" w:after="0"/>
        <w:ind w:left="28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Sonuç ve Değerlendirme </w:t>
      </w:r>
    </w:p>
    <w:p>
      <w:pPr>
        <w:autoSpaceDN w:val="0"/>
        <w:autoSpaceDE w:val="0"/>
        <w:widowControl/>
        <w:spacing w:line="245" w:lineRule="auto" w:before="120" w:after="0"/>
        <w:ind w:left="28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Menkul kıymet borsaları mevcut finansal sistemin en önemli bileşenleri arasında yer almaktadır. Birçok yatırımcı takip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ettikleri hisse senetlerinin açılış-kapanış-en yüksek-en düşük fiyatlarını ve işlem hacimlerini sürekli olarak tahmin etmeye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çalışmaktadır. (Hu vd., 2018: 188) Borsa endeksinin yönü, fiyat endeksinin hareketini veya borsa endeksinin gelecekteki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dalgalanma eğilimini ifade etmektedir. Yönü tahmin etmek bir yatırımcının bir finansal enstrümanı alma veya satma kararını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büyük ölçüde etkilemektedir. Menkul kıymet borsası endeksi eğilimlerinin doğru tahmini, yatırımcıların borsada kâr elde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etme fırsatlarına yardımcı olmaktadır.  Bu nedenle, borsa endeks eğilimlerinin tahmin edilmesi yatırımcılar için son derece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avantajlı olacaktır. (Qiu ve Song, 2016: 1) Bu çalışmanın amacı borsa endekslerinin artış ve azalışlarını tahmin eden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makina öğrenmesi algoritmalarının karşılaştırılmasıdır. </w:t>
      </w:r>
    </w:p>
    <w:p>
      <w:pPr>
        <w:autoSpaceDN w:val="0"/>
        <w:autoSpaceDE w:val="0"/>
        <w:widowControl/>
        <w:spacing w:line="238" w:lineRule="auto" w:before="690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1011 </w:t>
      </w:r>
    </w:p>
    <w:p>
      <w:pPr>
        <w:sectPr>
          <w:pgSz w:w="11906" w:h="16838"/>
          <w:pgMar w:top="340" w:right="1064" w:bottom="284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2" w:firstLine="0"/>
        <w:jc w:val="right"/>
      </w:pP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[ GUSBID ] Gümüşhane Üniversitesi Sosyal Bilimler Dergisi, Yıl: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2023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Cilt: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14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>Sayı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>: 3</w:t>
      </w:r>
    </w:p>
    <w:p>
      <w:pPr>
        <w:autoSpaceDN w:val="0"/>
        <w:autoSpaceDE w:val="0"/>
        <w:widowControl/>
        <w:spacing w:line="245" w:lineRule="auto" w:before="218" w:after="0"/>
        <w:ind w:left="0" w:right="22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Çalışmada Ocak 2002-Eylül 2002 tarihleri arası aylık BIST 100, S&amp;P 500, CAC40, FTSE10, NIKKEI225DAX,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SHANGAICOMP, ONSUSD, USDTRY, VIX ve REPO değişkenlerinin 1. ve 2. gecikmeli değerleri alınmıştır. BIST 100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endeksinin yön tahmini için dokuz adet makine öğrenme yöntemi kullanılmıştır. Bunlar; Lojistik Regresyon Analizi, Lineer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Diskriminant Analizi, Naive Bayes Algoritması, Rasgele Orman Algoritması, K-En Yakın Komşu Algoritması, Sınıflandırma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ve Regresyon Ağacı Algoritması, Yapay Sinir Ağları, Gauss Çekirdek Fonksiyonu ile Destek Vektör Makineleri ve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Polinomiyal Çekirdek Fonksiyonu ile Destek Vektör Makineleri yöntemleridir. BIST 100 endeksinin yön tahmininde makine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öğrenme algoritmalarının performansını değerlendirmek üzere doğruluk oranı (ACC), F1-skoru (F1) ve Matthew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korelasyon katsayısı (MCC) kullanılmıştır. </w:t>
      </w:r>
    </w:p>
    <w:p>
      <w:pPr>
        <w:autoSpaceDN w:val="0"/>
        <w:autoSpaceDE w:val="0"/>
        <w:widowControl/>
        <w:spacing w:line="245" w:lineRule="auto" w:before="120" w:after="0"/>
        <w:ind w:left="0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Test verilerinin performans ölçümlerinin istatistiksel sonuçları incelendiğinde uzun dönemde LR ve LDA aynı başarı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düzeyiyle birinci sırada yer almıştır. Orta vade de aynı algoritmik modellerin başarı düzeylerinin yüksek olduğu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görülmektedir. Uzun ve orta vadede LR ve LDA modelleri en başarılı modellerken, kısa dönemde ise SVM-POLY modelinin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performansının diğer modellerden fazla olduğu görülmektedir. Genel olarak bakıldığında LR ve LDA modellerinin BIST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100 endeksinin yön tahmininde öne çıktığı, bu algoritmaları SVM-POLY ve SVM-RBF modellerinin izlediği ve lineer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yöntemlerin daha başarılı tahmin sonuçları ürettiği söylenebilir. Kısa dönemli yatırım yapmayı planlayanların SVM-POLY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algoritmasını, orta ve uzun dönem için BIST 100 yatırımcılarının ise LR ve LDA algoritmalarını dikkate almaları başarı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düzeyleri üzerinde etkili olacaktır. RF algoritması eğitim verisinde yüksek, test verisinde ise düşük değerli sonuçlar verdiği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için aşırı uyum (overfitting) sorununa yol açmaktadır. </w:t>
      </w:r>
    </w:p>
    <w:p>
      <w:pPr>
        <w:autoSpaceDN w:val="0"/>
        <w:autoSpaceDE w:val="0"/>
        <w:widowControl/>
        <w:spacing w:line="245" w:lineRule="auto" w:before="120" w:after="0"/>
        <w:ind w:left="0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Genel olarak, makine öğrenme yöntemlerinin BIST 100 endeksi yönünün tahmininde kullanılabileceğini ifade etmek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mümkündür. Bu sonuçlara göre yatırımcıların ve menkul kıymet borsasında faaliyet gösteren işletmelerin borsa endeksi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yönünü belirlemek için makine öğrenmesi modellerini kullanmaları başarı düzeylerini artıracaktır. Gelecekte yapılması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planlanan çalışmalar için daha fazla parametre kullanılması mümkündür. Hisse senedi fiyatlarının hükümet politikaları,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şirket performansı, yatırımcıların ilgisi vb. birçok faktöre bağlı olduğu iyi bilinmektedir. Bu hususlardan herhangi biriyle ilgili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çıkan bir haber, hisse senedi fiyatlarını doğrudan etkilemektedir. Bu haberler ‘iyi’, ‘çok iyi’, ‘kötü’ veya ‘daha kötü’ olarak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kategorize edilerek analize dahil edilebilir. </w:t>
      </w:r>
    </w:p>
    <w:p>
      <w:pPr>
        <w:autoSpaceDN w:val="0"/>
        <w:autoSpaceDE w:val="0"/>
        <w:widowControl/>
        <w:spacing w:line="238" w:lineRule="auto" w:before="492" w:after="0"/>
        <w:ind w:left="0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Kaynakça </w:t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20" w:after="0"/>
        <w:ind w:left="0" w:right="432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Abu-Mostafa, Y. S. ve Atiya, A. F. (1996). Introduction to Financial Forecasting,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Applied Intelligence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6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(3), 205-213.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11" w:history="1">
          <w:r>
            <w:rPr>
              <w:rStyle w:val="Hyperlink"/>
            </w:rPr>
            <w:t xml:space="preserve">https://doi.org/10.1007/BF00126626 </w:t>
          </w:r>
        </w:hyperlink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22" w:after="0"/>
        <w:ind w:left="0" w:right="432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>Akbilgic, O., Bozdogan, H. ve Balaban, M. E. (20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>14), A novel Hybrid RBF Neural Networks M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odel as a Forecaster, </w:t>
      </w:r>
      <w:r>
        <w:tab/>
      </w:r>
      <w:r>
        <w:rPr>
          <w:rFonts w:ascii="Arial Narrow" w:hAnsi="Arial Narrow" w:eastAsia="Arial Narrow"/>
          <w:b w:val="0"/>
          <w:i/>
          <w:color w:val="000000"/>
          <w:sz w:val="22"/>
        </w:rPr>
        <w:t>Statistics and Computing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24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(3), 365-375.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 xml:space="preserve"> https://doi.org/10.1007/s11222-013-9375-7 </w:t>
          </w:r>
        </w:hyperlink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18" w:after="0"/>
        <w:ind w:left="0" w:right="72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>Aksoy, B. (2021). Pay Senedi Fiyat Yönünün Ma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>kine Öğrenmesi Yöntemleri ile Tahmini: Bors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 İstanbul Örneği, </w:t>
      </w:r>
      <w:r>
        <w:tab/>
      </w:r>
      <w:r>
        <w:rPr>
          <w:rFonts w:ascii="Arial Narrow" w:hAnsi="Arial Narrow" w:eastAsia="Arial Narrow"/>
          <w:b w:val="0"/>
          <w:i/>
          <w:color w:val="000000"/>
          <w:sz w:val="22"/>
        </w:rPr>
        <w:t>Business and Economics Research Journal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12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(1), 89-110.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13" w:history="1">
          <w:r>
            <w:rPr>
              <w:rStyle w:val="Hyperlink"/>
            </w:rPr>
            <w:t xml:space="preserve"> http://dx.doi.org/10.20409/berj.2021.312 </w:t>
          </w:r>
        </w:hyperlink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18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>AltınYavuz, A. ve Yavuz, H. S. (2021). Denetimli Makine Öğrenme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13" w:history="1">
          <w:r>
            <w:rPr>
              <w:rStyle w:val="Hyperlink"/>
            </w:rPr>
            <w:t xml:space="preserve"> Yöntemleri ile Yüzey Su Kalitesinin Sınıfl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andırılması. </w:t>
      </w:r>
      <w:r>
        <w:tab/>
      </w:r>
      <w:r>
        <w:rPr>
          <w:rFonts w:ascii="Arial Narrow" w:hAnsi="Arial Narrow" w:eastAsia="Arial Narrow"/>
          <w:b w:val="0"/>
          <w:i/>
          <w:color w:val="000000"/>
          <w:sz w:val="22"/>
        </w:rPr>
        <w:t>Biyoloji Bilimleri Araştırma Dergisi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14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(2), 142-155. </w:t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18" w:after="0"/>
        <w:ind w:left="0" w:right="144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Aser, D. and Firuzan, E. (2022). Improving forecast accuracy using combined forecasts with regard to structural breaks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and arch innovations.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Ekoist Journal of Econometrics and Statistics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, 37, 1-25. </w:t>
      </w:r>
    </w:p>
    <w:p>
      <w:pPr>
        <w:autoSpaceDN w:val="0"/>
        <w:autoSpaceDE w:val="0"/>
        <w:widowControl/>
        <w:spacing w:line="238" w:lineRule="auto" w:before="0" w:after="0"/>
        <w:ind w:left="568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14" w:history="1">
          <w:r>
            <w:rPr>
              <w:rStyle w:val="Hyperlink"/>
            </w:rPr>
            <w:t xml:space="preserve">https://doi.org/10.26650/ekoist.2022.37.1183809 </w:t>
          </w:r>
        </w:hyperlink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20" w:after="0"/>
        <w:ind w:left="0" w:right="288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Atsalakis, G. S., &amp; Valavanis, K. P. (2009). Surveying Stock Market Forecasting Techniques – Part II: Soft Computing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Methods.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Expert Systems with Applications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36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(3, Part 2), 5932-5941. </w:t>
      </w:r>
    </w:p>
    <w:p>
      <w:pPr>
        <w:autoSpaceDN w:val="0"/>
        <w:autoSpaceDE w:val="0"/>
        <w:widowControl/>
        <w:spacing w:line="238" w:lineRule="auto" w:before="2" w:after="0"/>
        <w:ind w:left="568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15" w:history="1">
          <w:r>
            <w:rPr>
              <w:rStyle w:val="Hyperlink"/>
            </w:rPr>
            <w:t xml:space="preserve">https://doi.org/https://doi.org/10.1016/j.eswa.2008.07.006 </w:t>
          </w:r>
        </w:hyperlink>
      </w:r>
    </w:p>
    <w:p>
      <w:pPr>
        <w:autoSpaceDN w:val="0"/>
        <w:autoSpaceDE w:val="0"/>
        <w:widowControl/>
        <w:spacing w:line="245" w:lineRule="auto" w:before="120" w:after="0"/>
        <w:ind w:left="568" w:right="0" w:hanging="568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Bholoa, A., Kenny, S. D. ve Smith, R. (2007). A New Approach to Potential Fitting Using Neural Networks.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Nuclear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Instruments and Methods in Physics Research Section B: Beam Interactions with Materials and Atoms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255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(1), 1-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7.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16" w:history="1">
          <w:r>
            <w:rPr>
              <w:rStyle w:val="Hyperlink"/>
            </w:rPr>
            <w:t xml:space="preserve"> https://doi.org/https://doi.org/10.1016/j.nimb.2006.11.040 </w:t>
          </w:r>
        </w:hyperlink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20" w:after="0"/>
        <w:ind w:left="0" w:right="288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Biau, G., &amp; Scornet, E. (2016). A Random Forest Guided Tour.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TEST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25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(2), 197-227.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17" w:history="1">
          <w:r>
            <w:rPr>
              <w:rStyle w:val="Hyperlink"/>
            </w:rPr>
            <w:t xml:space="preserve"> https://doi.org/10.1007/s11749-</w:t>
          </w:r>
        </w:hyperlink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17" w:history="1">
          <w:r>
            <w:rPr>
              <w:rStyle w:val="Hyperlink"/>
            </w:rPr>
            <w:t xml:space="preserve">016-0481-7 </w:t>
          </w:r>
        </w:hyperlink>
      </w:r>
    </w:p>
    <w:p>
      <w:pPr>
        <w:autoSpaceDN w:val="0"/>
        <w:autoSpaceDE w:val="0"/>
        <w:widowControl/>
        <w:spacing w:line="245" w:lineRule="auto" w:before="118" w:after="0"/>
        <w:ind w:left="568" w:right="144" w:hanging="568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Bouwmeester, W., Twisk, J., Kappen, T., Klei, W., Moons, K., &amp; Vergouwe, Y. (2013). Prediction models for clustered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data: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18" w:history="1">
          <w:r>
            <w:rPr>
              <w:rStyle w:val="Hyperlink"/>
            </w:rPr>
            <w:t>comparison of a random intercept and sta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ndard regression model.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BMC Medical Research Methodology,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13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(1).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18" w:history="1">
          <w:r>
            <w:rPr>
              <w:rStyle w:val="Hyperlink"/>
            </w:rPr>
            <w:t xml:space="preserve"> https://doi.org/10.1186/1471-2288-13-19 </w:t>
          </w:r>
        </w:hyperlink>
      </w:r>
    </w:p>
    <w:p>
      <w:pPr>
        <w:autoSpaceDN w:val="0"/>
        <w:autoSpaceDE w:val="0"/>
        <w:widowControl/>
        <w:spacing w:line="245" w:lineRule="auto" w:before="118" w:after="0"/>
        <w:ind w:left="568" w:right="144" w:hanging="568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Boyacioglu,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18" w:history="1">
          <w:r>
            <w:rPr>
              <w:rStyle w:val="Hyperlink"/>
            </w:rPr>
            <w:t>M. A., ve Avci, D. (2010). An Adaptive Net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work-Based Fuzzy Inference System (ANFIS) For The Prediction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of Stock Ma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19" w:history="1">
          <w:r>
            <w:rPr>
              <w:rStyle w:val="Hyperlink"/>
            </w:rPr>
            <w:t xml:space="preserve">rket Return: The case of the Istanbul Stock Exchange. </w:t>
          </w:r>
        </w:hyperlink>
      </w:r>
      <w:r>
        <w:rPr>
          <w:rFonts w:ascii="Arial Narrow" w:hAnsi="Arial Narrow" w:eastAsia="Arial Narrow"/>
          <w:b w:val="0"/>
          <w:i/>
          <w:color w:val="000000"/>
          <w:sz w:val="22"/>
        </w:rPr>
        <w:hyperlink r:id="rId19" w:history="1">
          <w:r>
            <w:rPr>
              <w:rStyle w:val="Hyperlink"/>
            </w:rPr>
            <w:t>Ex</w:t>
          </w:r>
        </w:hyperlink>
      </w:r>
      <w:r>
        <w:rPr>
          <w:rFonts w:ascii="Arial Narrow" w:hAnsi="Arial Narrow" w:eastAsia="Arial Narrow"/>
          <w:b w:val="0"/>
          <w:i/>
          <w:color w:val="000000"/>
          <w:sz w:val="22"/>
        </w:rPr>
        <w:t>pert Systems with Applications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37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(12),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7908-7912.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19" w:history="1">
          <w:r>
            <w:rPr>
              <w:rStyle w:val="Hyperlink"/>
            </w:rPr>
            <w:t xml:space="preserve"> https://doi.org/https://doi.org/10.1016/j.eswa.2010.04.045 </w:t>
          </w:r>
        </w:hyperlink>
      </w:r>
    </w:p>
    <w:p>
      <w:pPr>
        <w:autoSpaceDN w:val="0"/>
        <w:autoSpaceDE w:val="0"/>
        <w:widowControl/>
        <w:spacing w:line="238" w:lineRule="auto" w:before="328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1012 </w:t>
      </w:r>
    </w:p>
    <w:p>
      <w:pPr>
        <w:sectPr>
          <w:pgSz w:w="11906" w:h="16838"/>
          <w:pgMar w:top="342" w:right="1062" w:bottom="284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60" w:firstLine="0"/>
        <w:jc w:val="right"/>
      </w:pP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[ GUSBID ] Gümüşhane Üniversitesi Sosyal Bilimler Dergisi, Yıl: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2023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Cilt: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14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>Sayı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>: 3</w:t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218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Chang, L.-Y., ve Wang, H.-W. (2006). Analysis of Traffic Injury Severity: An Application of Non-Parametric Classification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Tree Techniques.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Accident Analysis &amp; Prevention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38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(5), 1019-1027. </w:t>
      </w:r>
    </w:p>
    <w:p>
      <w:pPr>
        <w:autoSpaceDN w:val="0"/>
        <w:autoSpaceDE w:val="0"/>
        <w:widowControl/>
        <w:spacing w:line="238" w:lineRule="auto" w:before="0" w:after="0"/>
        <w:ind w:left="568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20" w:history="1">
          <w:r>
            <w:rPr>
              <w:rStyle w:val="Hyperlink"/>
            </w:rPr>
            <w:t xml:space="preserve">https://doi.org/https://doi.org/10.1016/j.aap.2006.04.009 </w:t>
          </w:r>
        </w:hyperlink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20" w:after="0"/>
        <w:ind w:left="0" w:right="288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Çetin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20" w:history="1">
          <w:r>
            <w:rPr>
              <w:rStyle w:val="Hyperlink"/>
            </w:rPr>
            <w:t>Taş, İ., ve Müngen, A. A. (2021). Yapay Sinir Ağları ve De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stek Vektör Makineleri Yöntemleri İle Bölgesel Trafik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Yoğunluk Tahmini.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Adıyaman Üniversitesi Mühendislik Bilimleri Dergisi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8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(15), 378-390. </w:t>
      </w:r>
    </w:p>
    <w:p>
      <w:pPr>
        <w:autoSpaceDN w:val="0"/>
        <w:autoSpaceDE w:val="0"/>
        <w:widowControl/>
        <w:spacing w:line="238" w:lineRule="auto" w:before="0" w:after="0"/>
        <w:ind w:left="568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21" w:history="1">
          <w:r>
            <w:rPr>
              <w:rStyle w:val="Hyperlink"/>
            </w:rPr>
            <w:t xml:space="preserve">https://doi.org/10.54365/adyumbd.971461 </w:t>
          </w:r>
        </w:hyperlink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22" w:after="0"/>
        <w:ind w:left="0" w:right="144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Demirel, A. C., ve Hazar, A. (2021). Borsa Endekslerinin Birbirleriyle Etkileşimi ve Endeks Yönünün Tahmini: BİST100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Üzerine Bir Uygulama.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Ekonomi ve Finansal Araştırmalar Dergisi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3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(1), 1-8. </w:t>
      </w:r>
    </w:p>
    <w:p>
      <w:pPr>
        <w:autoSpaceDN w:val="0"/>
        <w:autoSpaceDE w:val="0"/>
        <w:widowControl/>
        <w:spacing w:line="245" w:lineRule="auto" w:before="120" w:after="0"/>
        <w:ind w:left="568" w:right="0" w:hanging="568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Filiz, E., Akoğul, S., ve Karaboğa, H. A. (2021). Büyük Dünya Endeksleri Kullanılarak BIST-100 Endeksi Değişim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Yönünün Makine Öğrenmesi Algoritmaları ile Sınıflandırılması.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Bitlis Eren Üniversitesi Fen Bilimleri Dergisi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10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(2),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432-441.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22" w:history="1">
          <w:r>
            <w:rPr>
              <w:rStyle w:val="Hyperlink"/>
            </w:rPr>
            <w:t xml:space="preserve"> https://doi.org/10.17798/bitlisfen.889007 </w:t>
          </w:r>
        </w:hyperlink>
      </w:r>
    </w:p>
    <w:p>
      <w:pPr>
        <w:autoSpaceDN w:val="0"/>
        <w:autoSpaceDE w:val="0"/>
        <w:widowControl/>
        <w:spacing w:line="245" w:lineRule="auto" w:before="122" w:after="0"/>
        <w:ind w:left="568" w:right="0" w:hanging="568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Gao, H. S., Guo, A. L., Yu, X. D., ve Li, C. C. (2008, 12-14 Oct. 2008). RBF-SVM and its Application on Network Security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Risk Evaluation. 2008 4th International Conference on Wireless Communications, Networking and Mobile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Computing,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23" w:history="1">
          <w:r>
            <w:rPr>
              <w:rStyle w:val="Hyperlink"/>
            </w:rPr>
            <w:t xml:space="preserve"> https://doi.org/10.1109/WiCom.2008.1110 </w:t>
          </w:r>
        </w:hyperlink>
      </w:r>
    </w:p>
    <w:p>
      <w:pPr>
        <w:autoSpaceDN w:val="0"/>
        <w:autoSpaceDE w:val="0"/>
        <w:widowControl/>
        <w:spacing w:line="240" w:lineRule="auto" w:before="118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>Gershenfeld, N. A.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23" w:history="1">
          <w:r>
            <w:rPr>
              <w:rStyle w:val="Hyperlink"/>
            </w:rPr>
            <w:t xml:space="preserve"> (1999). </w:t>
          </w:r>
        </w:hyperlink>
      </w:r>
      <w:r>
        <w:rPr>
          <w:rFonts w:ascii="Arial Narrow" w:hAnsi="Arial Narrow" w:eastAsia="Arial Narrow"/>
          <w:b w:val="0"/>
          <w:i/>
          <w:color w:val="000000"/>
          <w:sz w:val="22"/>
        </w:rPr>
        <w:hyperlink r:id="rId23" w:history="1">
          <w:r>
            <w:rPr>
              <w:rStyle w:val="Hyperlink"/>
            </w:rPr>
            <w:t>The Nature of Mathematical Model</w:t>
          </w:r>
        </w:hyperlink>
      </w:r>
      <w:r>
        <w:rPr>
          <w:rFonts w:ascii="Arial Narrow" w:hAnsi="Arial Narrow" w:eastAsia="Arial Narrow"/>
          <w:b w:val="0"/>
          <w:i/>
          <w:color w:val="000000"/>
          <w:sz w:val="22"/>
        </w:rPr>
        <w:t>ing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. Cambridge University Press. </w:t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18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Gopi, A. P., Jyothi, R. N. S., Narayana, V. L., ve Sandeep, K. S. (2020). Classification of Tweets Data Based on Polarity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Using Improved RBF Kernel of SVM.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International Journal of Information Technology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40" w:lineRule="auto" w:before="0" w:after="0"/>
        <w:ind w:left="568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24" w:history="1">
          <w:r>
            <w:rPr>
              <w:rStyle w:val="Hyperlink"/>
            </w:rPr>
            <w:t xml:space="preserve">https://doi.org/10.1007/s41870-019-00409-4 </w:t>
          </w:r>
        </w:hyperlink>
      </w:r>
    </w:p>
    <w:p>
      <w:pPr>
        <w:autoSpaceDN w:val="0"/>
        <w:autoSpaceDE w:val="0"/>
        <w:widowControl/>
        <w:spacing w:line="245" w:lineRule="auto" w:before="118" w:after="0"/>
        <w:ind w:left="568" w:right="432" w:hanging="568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>Goy, G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24" w:history="1">
          <w:r>
            <w:rPr>
              <w:rStyle w:val="Hyperlink"/>
            </w:rPr>
            <w:t>., Gezer, C., ve Gungor, V. C. (2019, 11-15 S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ept. 2019). Credit Card Fraud Detection with Machine Learning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Methods. 2019 4th International Conference on Computer Science and Engineering (UBMK), </w:t>
      </w:r>
      <w:r>
        <w:br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25" w:history="1">
          <w:r>
            <w:rPr>
              <w:rStyle w:val="Hyperlink"/>
            </w:rPr>
            <w:t xml:space="preserve">https://doi.org/10.1109/UBMK.2019.8906995 </w:t>
          </w:r>
        </w:hyperlink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18" w:after="0"/>
        <w:ind w:left="0" w:right="288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>Gures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25" w:history="1">
          <w:r>
            <w:rPr>
              <w:rStyle w:val="Hyperlink"/>
            </w:rPr>
            <w:t>en, E., Kayakutlu, G., ve Daim, T. U. (2011). U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sing artificial Neural Network Models in Stock Market Index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Prediction.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Expert Systems with Applications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38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(8), 10389-10397.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26" w:history="1">
          <w:r>
            <w:rPr>
              <w:rStyle w:val="Hyperlink"/>
            </w:rPr>
            <w:t xml:space="preserve"> https://doi.org/10.1016/j.eswa.2011.02.068 </w:t>
          </w:r>
        </w:hyperlink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20" w:after="0"/>
        <w:ind w:left="0" w:right="144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Han, J., Kamber, M., ve Pei, J. (2012). 8 - Classification: Basic Concepts. In J. Han, M. Kamber, ve J. Pei (Eds.),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Data </w:t>
      </w:r>
      <w:r>
        <w:tab/>
      </w:r>
      <w:r>
        <w:rPr>
          <w:rFonts w:ascii="Arial Narrow" w:hAnsi="Arial Narrow" w:eastAsia="Arial Narrow"/>
          <w:b w:val="0"/>
          <w:i/>
          <w:color w:val="000000"/>
          <w:sz w:val="22"/>
        </w:rPr>
        <w:t>Mining (Third Edition)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(pp. 327-391). Morgan Kaufmann. </w:t>
      </w:r>
    </w:p>
    <w:p>
      <w:pPr>
        <w:autoSpaceDN w:val="0"/>
        <w:autoSpaceDE w:val="0"/>
        <w:widowControl/>
        <w:spacing w:line="245" w:lineRule="auto" w:before="120" w:after="0"/>
        <w:ind w:left="568" w:right="0" w:hanging="568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Hill, T., Marquez, L., O'Connor, M., ve Remus, W. (1994). Artificial Neural Network Models for Forecasting And Decision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Making.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International Journal of Forecasting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10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(1), 5-15.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27" w:history="1">
          <w:r>
            <w:rPr>
              <w:rStyle w:val="Hyperlink"/>
            </w:rPr>
            <w:t xml:space="preserve"> https://doi.org/https://doi.org/10.1016/0169-</w:t>
          </w:r>
        </w:hyperlink>
      </w:r>
      <w:r>
        <w:br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27" w:history="1">
          <w:r>
            <w:rPr>
              <w:rStyle w:val="Hyperlink"/>
            </w:rPr>
            <w:t xml:space="preserve">2070(94)90045-0 </w:t>
          </w:r>
        </w:hyperlink>
      </w:r>
    </w:p>
    <w:p>
      <w:pPr>
        <w:autoSpaceDN w:val="0"/>
        <w:autoSpaceDE w:val="0"/>
        <w:widowControl/>
        <w:spacing w:line="240" w:lineRule="auto" w:before="122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Hsu, C.-W., Chang, C.-C., ve Lin, C.-J. (2003). A Practical Guide to Support Vector Classification. In: Taipei, Taiwan. </w:t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18" w:after="0"/>
        <w:ind w:left="0" w:right="432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Hu, H., Tang, L., Zhang, S., ve Wang, H. (2018). Predicting the Direction of Stock Markets Using Optimized Neural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Networks With Google Trends.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Neurocomputing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285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, 188-195. </w:t>
      </w:r>
    </w:p>
    <w:p>
      <w:pPr>
        <w:autoSpaceDN w:val="0"/>
        <w:autoSpaceDE w:val="0"/>
        <w:widowControl/>
        <w:spacing w:line="240" w:lineRule="auto" w:before="0" w:after="0"/>
        <w:ind w:left="568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28" w:history="1">
          <w:r>
            <w:rPr>
              <w:rStyle w:val="Hyperlink"/>
            </w:rPr>
            <w:t xml:space="preserve">https://doi.org/https://doi.org/10.1016/j.neucom.2018.01.038 </w:t>
          </w:r>
        </w:hyperlink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18" w:after="0"/>
        <w:ind w:left="0" w:right="144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>Jabeur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28" w:history="1">
          <w:r>
            <w:rPr>
              <w:rStyle w:val="Hyperlink"/>
            </w:rPr>
            <w:t xml:space="preserve">, S. B., Mefteh-Wali, S., ve Viviani, J.-L. (2021). Forecasting 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Gold Price With The XGBoost Algorithm and SHAP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Interaction Values.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Annals of Operations Research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29" w:history="1">
          <w:r>
            <w:rPr>
              <w:rStyle w:val="Hyperlink"/>
            </w:rPr>
            <w:t xml:space="preserve"> https://doi.org/10.1007/s10479-021-04187-w </w:t>
          </w:r>
        </w:hyperlink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20" w:after="0"/>
        <w:ind w:left="0" w:right="144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Kara, İ., ve Ecer, F. (2018). BIST Endeks Hareket Yönünün Tahmininde Sınıflandırma Yöntemlerinin Performanslarının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Karşılaştırılması.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ASOS Journal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6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(83), 514-524.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30" w:history="1">
          <w:r>
            <w:rPr>
              <w:rStyle w:val="Hyperlink"/>
            </w:rPr>
            <w:t xml:space="preserve"> http://dx.doi.org/10.16992/ASOS.14460 </w:t>
          </w:r>
        </w:hyperlink>
      </w:r>
    </w:p>
    <w:p>
      <w:pPr>
        <w:autoSpaceDN w:val="0"/>
        <w:autoSpaceDE w:val="0"/>
        <w:widowControl/>
        <w:spacing w:line="245" w:lineRule="auto" w:before="120" w:after="0"/>
        <w:ind w:left="568" w:right="288" w:hanging="568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Kara, Y., Acar Boyacioglu, M., ve Baykan, Ö. K. (2011). Predicting Direction of Stock Price Index Movement Using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Artificial Neural Networks And Support Vector Machines: The Sample of the Istanbul Stock Exchange.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Expert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Systems with Applications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38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(5), 5311-5319.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31" w:history="1">
          <w:r>
            <w:rPr>
              <w:rStyle w:val="Hyperlink"/>
            </w:rPr>
            <w:t xml:space="preserve"> https://doi.org/https://doi.org/10.1016/j.eswa.2010.10.027 </w:t>
          </w:r>
        </w:hyperlink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22" w:after="0"/>
        <w:ind w:left="0" w:right="144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Kaynar, O., Tuna, M. F., Görmez, Y., Ve Deveci, M. A. (2017). Makine Öğrenmesi Yöntemleriyle Müşteri Kaybı Analizi. </w:t>
      </w:r>
      <w:r>
        <w:tab/>
      </w:r>
      <w:r>
        <w:rPr>
          <w:rFonts w:ascii="Arial Narrow" w:hAnsi="Arial Narrow" w:eastAsia="Arial Narrow"/>
          <w:b w:val="0"/>
          <w:i/>
          <w:color w:val="000000"/>
          <w:sz w:val="22"/>
        </w:rPr>
        <w:t>Cumhuriyet Üniversitesi İktisadi ve İdari Bilimler Dergisi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18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(1), 1-14. </w:t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20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Khashei, M., ve Bijari, M. (2010). An Artificial Neural Network (p,d,q) Model for Timeseries Forecasting.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Expert Systems </w:t>
      </w:r>
      <w:r>
        <w:tab/>
      </w:r>
      <w:r>
        <w:rPr>
          <w:rFonts w:ascii="Arial Narrow" w:hAnsi="Arial Narrow" w:eastAsia="Arial Narrow"/>
          <w:b w:val="0"/>
          <w:i/>
          <w:color w:val="000000"/>
          <w:sz w:val="22"/>
        </w:rPr>
        <w:t>with Applications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37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(1), 479-489.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32" w:history="1">
          <w:r>
            <w:rPr>
              <w:rStyle w:val="Hyperlink"/>
            </w:rPr>
            <w:t xml:space="preserve"> https://doi.org/10.1016/j.eswa.2009.05.044 </w:t>
          </w:r>
        </w:hyperlink>
      </w:r>
    </w:p>
    <w:p>
      <w:pPr>
        <w:autoSpaceDN w:val="0"/>
        <w:autoSpaceDE w:val="0"/>
        <w:widowControl/>
        <w:spacing w:line="245" w:lineRule="auto" w:before="120" w:after="0"/>
        <w:ind w:left="568" w:right="432" w:hanging="568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Kleinbaum, D. G., ve Klein, M. (2010). Introduction to Logistic Regression. In D. G. Kleinbaum ve M. Klein (Eds.),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hyperlink r:id="rId33" w:history="1">
          <w:r>
            <w:rPr>
              <w:rStyle w:val="Hyperlink"/>
            </w:rPr>
            <w:t>Logistic R</w:t>
          </w:r>
        </w:hyperlink>
      </w:r>
      <w:r>
        <w:rPr>
          <w:rFonts w:ascii="Arial Narrow" w:hAnsi="Arial Narrow" w:eastAsia="Arial Narrow"/>
          <w:b w:val="0"/>
          <w:i/>
          <w:color w:val="000000"/>
          <w:sz w:val="22"/>
        </w:rPr>
        <w:t>egression: A Self-Learning Text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(pp. 1-39). Springer New York.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33" w:history="1">
          <w:r>
            <w:rPr>
              <w:rStyle w:val="Hyperlink"/>
            </w:rPr>
            <w:t xml:space="preserve"> https://doi.org/10.1007/978-1-4419-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33" w:history="1">
          <w:r>
            <w:rPr>
              <w:rStyle w:val="Hyperlink"/>
            </w:rPr>
            <w:t xml:space="preserve">1742-3_1 </w:t>
          </w:r>
        </w:hyperlink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18" w:after="0"/>
        <w:ind w:left="0" w:right="144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>Koç Ustalı, N., Tosun, N., ve Tosun, Ö. (2021). Makine Öğrenmesi Teknikle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34" w:history="1">
          <w:r>
            <w:rPr>
              <w:rStyle w:val="Hyperlink"/>
            </w:rPr>
            <w:t xml:space="preserve">ri ile Hisse Senedi Fiyat Tahmini. </w:t>
          </w:r>
        </w:hyperlink>
      </w:r>
      <w:r>
        <w:rPr>
          <w:rFonts w:ascii="Arial Narrow" w:hAnsi="Arial Narrow" w:eastAsia="Arial Narrow"/>
          <w:b w:val="0"/>
          <w:i/>
          <w:color w:val="000000"/>
          <w:sz w:val="22"/>
        </w:rPr>
        <w:hyperlink r:id="rId34" w:history="1">
          <w:r>
            <w:rPr>
              <w:rStyle w:val="Hyperlink"/>
            </w:rPr>
            <w:t>Eskişe</w:t>
          </w:r>
        </w:hyperlink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hir </w:t>
      </w:r>
      <w:r>
        <w:tab/>
      </w:r>
      <w:r>
        <w:rPr>
          <w:rFonts w:ascii="Arial Narrow" w:hAnsi="Arial Narrow" w:eastAsia="Arial Narrow"/>
          <w:b w:val="0"/>
          <w:i/>
          <w:color w:val="000000"/>
          <w:sz w:val="22"/>
        </w:rPr>
        <w:t>Osmangazi Üniversitesi İktisadi ve İdari Bilimler Dergisi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16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(1), 1-16.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34" w:history="1">
          <w:r>
            <w:rPr>
              <w:rStyle w:val="Hyperlink"/>
            </w:rPr>
            <w:t xml:space="preserve"> https://doi.org/10.17153/oguiibf.636017 </w:t>
          </w:r>
        </w:hyperlink>
      </w:r>
    </w:p>
    <w:p>
      <w:pPr>
        <w:autoSpaceDN w:val="0"/>
        <w:autoSpaceDE w:val="0"/>
        <w:widowControl/>
        <w:spacing w:line="238" w:lineRule="auto" w:before="486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1013 </w:t>
      </w:r>
    </w:p>
    <w:p>
      <w:pPr>
        <w:sectPr>
          <w:pgSz w:w="11906" w:h="16838"/>
          <w:pgMar w:top="342" w:right="1074" w:bottom="284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68" w:firstLine="0"/>
        <w:jc w:val="right"/>
      </w:pP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[ GUSBID ] Gümüşhane Üniversitesi Sosyal Bilimler Dergisi, Yıl: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2023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Cilt: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14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>Sayı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>: 3</w:t>
      </w:r>
    </w:p>
    <w:p>
      <w:pPr>
        <w:autoSpaceDN w:val="0"/>
        <w:autoSpaceDE w:val="0"/>
        <w:widowControl/>
        <w:spacing w:line="245" w:lineRule="auto" w:before="218" w:after="0"/>
        <w:ind w:left="568" w:right="0" w:hanging="568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Kumar, D. A., ve Murugan, S. (2013, 21-22 Feb. 2013). Performance Analysis of Indian Stock Market Index Using Neural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Network Time Series Model. 2013 International Conference on Pattern Recognition, Informatics and Mobile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Engineering,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35" w:history="1">
          <w:r>
            <w:rPr>
              <w:rStyle w:val="Hyperlink"/>
            </w:rPr>
            <w:t xml:space="preserve"> https://doi.org/10.1109/ICPRIME.2013.6496450 </w:t>
          </w:r>
        </w:hyperlink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20" w:after="0"/>
        <w:ind w:left="0" w:right="144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>Kumar, M., ve Then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35" w:history="1">
          <w:r>
            <w:rPr>
              <w:rStyle w:val="Hyperlink"/>
            </w:rPr>
            <w:t>mozhi, M. (2006). Forecasting Stock Index Move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ment: A Comparison of Support Vector Machines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and Random Forest. Indian institute of capital markets 9th capital markets conference paper, </w:t>
      </w:r>
    </w:p>
    <w:p>
      <w:pPr>
        <w:autoSpaceDN w:val="0"/>
        <w:autoSpaceDE w:val="0"/>
        <w:widowControl/>
        <w:spacing w:line="245" w:lineRule="auto" w:before="120" w:after="0"/>
        <w:ind w:left="568" w:right="144" w:hanging="568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Küçük, H., Tepe, C., ve İ, E. (2013, 24-26 April 2013). Classification of EMG Signals by k-Nearest Neighbor Algorithm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and Support Vector Machine Methods. 2013 21st Signal Processing and Communications Applications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Conference (SIU),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36" w:history="1">
          <w:r>
            <w:rPr>
              <w:rStyle w:val="Hyperlink"/>
            </w:rPr>
            <w:t xml:space="preserve"> https://doi.org/10.1109/SIU.2013.6531240 </w:t>
          </w:r>
        </w:hyperlink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20" w:after="0"/>
        <w:ind w:left="0" w:right="1296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Larose, D. T., ve Larose,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36" w:history="1">
          <w:r>
            <w:rPr>
              <w:rStyle w:val="Hyperlink"/>
            </w:rPr>
            <w:t xml:space="preserve">C. D. (2014). Decision Trees. In </w:t>
          </w:r>
        </w:hyperlink>
      </w:r>
      <w:r>
        <w:rPr>
          <w:rFonts w:ascii="Arial Narrow" w:hAnsi="Arial Narrow" w:eastAsia="Arial Narrow"/>
          <w:b w:val="0"/>
          <w:i/>
          <w:color w:val="000000"/>
          <w:sz w:val="22"/>
        </w:rPr>
        <w:hyperlink r:id="rId36" w:history="1">
          <w:r>
            <w:rPr>
              <w:rStyle w:val="Hyperlink"/>
            </w:rPr>
            <w:t>Discoverin</w:t>
          </w:r>
        </w:hyperlink>
      </w:r>
      <w:r>
        <w:rPr>
          <w:rFonts w:ascii="Arial Narrow" w:hAnsi="Arial Narrow" w:eastAsia="Arial Narrow"/>
          <w:b w:val="0"/>
          <w:i/>
          <w:color w:val="000000"/>
          <w:sz w:val="22"/>
        </w:rPr>
        <w:t>g Knowledge in Data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(pp. 165-186).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37" w:history="1">
          <w:r>
            <w:rPr>
              <w:rStyle w:val="Hyperlink"/>
            </w:rPr>
            <w:t xml:space="preserve">https://doi.org/https://doi.org/10.1002/9781118874059.ch8 </w:t>
          </w:r>
        </w:hyperlink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20" w:after="0"/>
        <w:ind w:left="0" w:right="144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>Liu, Y.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37" w:history="1">
          <w:r>
            <w:rPr>
              <w:rStyle w:val="Hyperlink"/>
            </w:rPr>
            <w:t>, Wang, Y., ve Zhang, J. (2012). New Machine Learning Alg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orithm: Random Forest. Information Computing and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Applications, Berlin, Heidelberg.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38" w:history="1">
          <w:r>
            <w:rPr>
              <w:rStyle w:val="Hyperlink"/>
            </w:rPr>
            <w:t xml:space="preserve"> https://doi.org/10.1007/978-3-642-34062-8_32 </w:t>
          </w:r>
        </w:hyperlink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18" w:after="0"/>
        <w:ind w:left="0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>Lu, Z. (2010). The elements of statistica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38" w:history="1">
          <w:r>
            <w:rPr>
              <w:rStyle w:val="Hyperlink"/>
            </w:rPr>
            <w:t>l learning: data mining, inference, and predictio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n.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Journal of the Royal Statistical </w:t>
      </w:r>
      <w:r>
        <w:tab/>
      </w:r>
      <w:r>
        <w:rPr>
          <w:rFonts w:ascii="Arial Narrow" w:hAnsi="Arial Narrow" w:eastAsia="Arial Narrow"/>
          <w:b w:val="0"/>
          <w:i/>
          <w:color w:val="000000"/>
          <w:sz w:val="22"/>
        </w:rPr>
        <w:t>Society Series a (Statistics in Society)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,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173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(3), 693-694. https://doi.org/10.1111/j.1467-985x.2010.00646_6.x </w:t>
      </w:r>
    </w:p>
    <w:p>
      <w:pPr>
        <w:autoSpaceDN w:val="0"/>
        <w:autoSpaceDE w:val="0"/>
        <w:widowControl/>
        <w:spacing w:line="245" w:lineRule="auto" w:before="118" w:after="0"/>
        <w:ind w:left="568" w:right="144" w:hanging="568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Malkoçoğlu, A. B. V., ve Malkoçoglu, Ş. U. (2020). Comparative Performance Analysis of Random Forest and Logistic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Regression Algorithms. 2020 5th International Conference on Computer Science and Engineering (UBMK),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39" w:history="1">
          <w:r>
            <w:rPr>
              <w:rStyle w:val="Hyperlink"/>
            </w:rPr>
            <w:t xml:space="preserve">https://doi.org/10.1109/UBMK50275.2020.9219478 </w:t>
          </w:r>
        </w:hyperlink>
      </w:r>
    </w:p>
    <w:p>
      <w:pPr>
        <w:autoSpaceDN w:val="0"/>
        <w:autoSpaceDE w:val="0"/>
        <w:widowControl/>
        <w:spacing w:line="245" w:lineRule="auto" w:before="120" w:after="0"/>
        <w:ind w:left="0" w:right="144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>Mehdi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39" w:history="1">
          <w:r>
            <w:rPr>
              <w:rStyle w:val="Hyperlink"/>
            </w:rPr>
            <w:t>zadeh, S., Behmanesh, J., ve Khalili, K. (2017). Usin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g MARS, SVM, GEP and Empirical Equations for Estimation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of Monthly Mean Reference Evapotranspiration.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Computers and Electronics in Agriculture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139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, 103-114. </w:t>
      </w:r>
    </w:p>
    <w:p>
      <w:pPr>
        <w:autoSpaceDN w:val="0"/>
        <w:autoSpaceDE w:val="0"/>
        <w:widowControl/>
        <w:spacing w:line="240" w:lineRule="auto" w:before="0" w:after="0"/>
        <w:ind w:left="568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40" w:history="1">
          <w:r>
            <w:rPr>
              <w:rStyle w:val="Hyperlink"/>
            </w:rPr>
            <w:t xml:space="preserve">https://doi.org/10.1016/j.compag.2017.05.002 </w:t>
          </w:r>
        </w:hyperlink>
      </w:r>
    </w:p>
    <w:p>
      <w:pPr>
        <w:autoSpaceDN w:val="0"/>
        <w:autoSpaceDE w:val="0"/>
        <w:widowControl/>
        <w:spacing w:line="245" w:lineRule="auto" w:before="118" w:after="0"/>
        <w:ind w:left="568" w:right="432" w:hanging="568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>Minas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40" w:history="1">
          <w:r>
            <w:rPr>
              <w:rStyle w:val="Hyperlink"/>
            </w:rPr>
            <w:t>ny, B., ve McBratney, A. B. (2002). The Neuro-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m Method for Fitting Neural Network Parametric Pedotransfer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Functions.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Soil Science Society of America Journal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66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(2), 352-361.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41" w:history="1">
          <w:r>
            <w:rPr>
              <w:rStyle w:val="Hyperlink"/>
            </w:rPr>
            <w:t xml:space="preserve"> https://doi.org/10.2136/sssaj2002.3520 </w:t>
          </w:r>
        </w:hyperlink>
      </w:r>
    </w:p>
    <w:p>
      <w:pPr>
        <w:autoSpaceDN w:val="0"/>
        <w:autoSpaceDE w:val="0"/>
        <w:widowControl/>
        <w:spacing w:line="245" w:lineRule="auto" w:before="122" w:after="0"/>
        <w:ind w:left="568" w:right="652" w:hanging="568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Nasseri, A. A., Tucker, A., ve de Cesare, S. (2015). Quantifying StockTwits Semantic Terms’ Trading Behavior in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Financial Markets: An Effective Application of Decision Tree Algorithms.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Expert Systems with Applications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,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42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(23), 9192-9210.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42" w:history="1">
          <w:r>
            <w:rPr>
              <w:rStyle w:val="Hyperlink"/>
            </w:rPr>
            <w:t xml:space="preserve"> https://doi.org/10.1016/j.eswa.2015.08.008 </w:t>
          </w:r>
        </w:hyperlink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20" w:after="0"/>
        <w:ind w:left="0" w:right="288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Pabuçcu, H. (2019). Borsa Endeksi Hareketlerinin Tahmini: Trend Belirleyici Veri.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Selçuk Üniversitesi Sosyal Bilimler </w:t>
      </w:r>
      <w:r>
        <w:tab/>
      </w:r>
      <w:r>
        <w:rPr>
          <w:rFonts w:ascii="Arial Narrow" w:hAnsi="Arial Narrow" w:eastAsia="Arial Narrow"/>
          <w:b w:val="0"/>
          <w:i/>
          <w:color w:val="000000"/>
          <w:sz w:val="22"/>
        </w:rPr>
        <w:t>Meslek Yüksekokulu Dergisi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22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(1), 246-256.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43" w:history="1">
          <w:r>
            <w:rPr>
              <w:rStyle w:val="Hyperlink"/>
            </w:rPr>
            <w:t xml:space="preserve"> https://doi.org/10.29249/selcuksbmyd.487862 </w:t>
          </w:r>
        </w:hyperlink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20" w:after="0"/>
        <w:ind w:left="0" w:right="144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Paiva, F. D., Cardoso, R. T. N., Hanaoka, G. P., ve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43" w:history="1">
          <w:r>
            <w:rPr>
              <w:rStyle w:val="Hyperlink"/>
            </w:rPr>
            <w:t>Duarte, W. M. (2019). Decision-making for Fina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ncial Trading: A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44" w:history="1">
          <w:r>
            <w:rPr>
              <w:rStyle w:val="Hyperlink"/>
            </w:rPr>
            <w:t xml:space="preserve">Fusion Approach of Machine Learning and 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Portfolio Selection.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Expert Systems with Applications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115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, 635-655. </w:t>
      </w:r>
    </w:p>
    <w:p>
      <w:pPr>
        <w:autoSpaceDN w:val="0"/>
        <w:autoSpaceDE w:val="0"/>
        <w:widowControl/>
        <w:spacing w:line="240" w:lineRule="auto" w:before="0" w:after="0"/>
        <w:ind w:left="568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44" w:history="1">
          <w:r>
            <w:rPr>
              <w:rStyle w:val="Hyperlink"/>
            </w:rPr>
            <w:t xml:space="preserve">https://doi.org/10.1016/j.eswa.2018.08.003 </w:t>
          </w:r>
        </w:hyperlink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18" w:after="0"/>
        <w:ind w:left="0" w:right="288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>Sarı, S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44" w:history="1">
          <w:r>
            <w:rPr>
              <w:rStyle w:val="Hyperlink"/>
            </w:rPr>
            <w:t>. S., ve Saka Ilgın, K. (2022). BIST-100 End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eks Hareketlerinin BRICS Endeksleri Aracılığıyla Tahmin Edilmesi: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Yapay Sinir Ağları Uygulaması.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Abant Sosyal Bilimler Dergisi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22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(1), 350-366. </w:t>
      </w:r>
    </w:p>
    <w:p>
      <w:pPr>
        <w:autoSpaceDN w:val="0"/>
        <w:autoSpaceDE w:val="0"/>
        <w:widowControl/>
        <w:spacing w:line="240" w:lineRule="auto" w:before="0" w:after="0"/>
        <w:ind w:left="568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45" w:history="1">
          <w:r>
            <w:rPr>
              <w:rStyle w:val="Hyperlink"/>
            </w:rPr>
            <w:t xml:space="preserve">https://doi.org/10.11616/asbi.1096346 </w:t>
          </w:r>
        </w:hyperlink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20" w:after="0"/>
        <w:ind w:left="0" w:right="144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>Schonlau,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46" w:history="1">
          <w:r>
            <w:rPr>
              <w:rStyle w:val="Hyperlink"/>
            </w:rPr>
            <w:t xml:space="preserve"> M., ve Zou, R. Y. (2020). The Random Fore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st Algorithm for Statistical Learning.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The Stata Journal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20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(1), 3-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29.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46" w:history="1">
          <w:r>
            <w:rPr>
              <w:rStyle w:val="Hyperlink"/>
            </w:rPr>
            <w:t xml:space="preserve"> https://doi.org/10.1177/1536867x20909688 </w:t>
          </w:r>
        </w:hyperlink>
      </w:r>
    </w:p>
    <w:p>
      <w:pPr>
        <w:autoSpaceDN w:val="0"/>
        <w:autoSpaceDE w:val="0"/>
        <w:widowControl/>
        <w:spacing w:line="245" w:lineRule="auto" w:before="120" w:after="0"/>
        <w:ind w:left="568" w:right="144" w:hanging="568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Sheta, A. F., Ahmed, S. E. M., ve Faris, H. (2015). A Comparison Between Regression, Artificial Neural Networks and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Support Vector Machines for Predicting Stock Market Index.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International Journal of Advanced Research in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Artificial Intelligence,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4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(7), 55-63.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47" w:history="1">
          <w:r>
            <w:rPr>
              <w:rStyle w:val="Hyperlink"/>
            </w:rPr>
            <w:t xml:space="preserve"> https://dx.doi.org/10.14569/IJARAI.2015.040710 </w:t>
          </w:r>
        </w:hyperlink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20" w:after="0"/>
        <w:ind w:left="0" w:right="144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Şahan, S., Polat, K., Kodaz, H., ve Güneş, S. (2007). A New Hybrid Method Based on Fuzzy-Artificial Immune System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and K-Nn Algorithm for Breast Cancer Diagnosis.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Computers in Biology and Medicine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37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(3), 415-423. </w:t>
      </w:r>
    </w:p>
    <w:p>
      <w:pPr>
        <w:autoSpaceDN w:val="0"/>
        <w:autoSpaceDE w:val="0"/>
        <w:widowControl/>
        <w:spacing w:line="238" w:lineRule="auto" w:before="0" w:after="0"/>
        <w:ind w:left="568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48" w:history="1">
          <w:r>
            <w:rPr>
              <w:rStyle w:val="Hyperlink"/>
            </w:rPr>
            <w:t xml:space="preserve">https://doi.org/10.1016/j.compbiomed.2006.05.003 </w:t>
          </w:r>
        </w:hyperlink>
      </w:r>
    </w:p>
    <w:p>
      <w:pPr>
        <w:autoSpaceDN w:val="0"/>
        <w:tabs>
          <w:tab w:pos="568" w:val="left"/>
        </w:tabs>
        <w:autoSpaceDE w:val="0"/>
        <w:widowControl/>
        <w:spacing w:line="245" w:lineRule="auto" w:before="120" w:after="0"/>
        <w:ind w:left="0" w:right="144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Tan, T. Z., Quek, C., ve Ng, G. S. (2007). Biological Brain-Inspired Genetic Complementary Learning for Stock Market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and Bank Failure Prediction.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Computational Intelligence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23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(2), 236-261. </w:t>
      </w:r>
    </w:p>
    <w:p>
      <w:pPr>
        <w:autoSpaceDN w:val="0"/>
        <w:autoSpaceDE w:val="0"/>
        <w:widowControl/>
        <w:spacing w:line="238" w:lineRule="auto" w:before="0" w:after="0"/>
        <w:ind w:left="568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49" w:history="1">
          <w:r>
            <w:rPr>
              <w:rStyle w:val="Hyperlink"/>
            </w:rPr>
            <w:t xml:space="preserve">https://doi.org/https://doi.org/10.1111/j.1467-8640.2007.00303.x </w:t>
          </w:r>
        </w:hyperlink>
      </w:r>
    </w:p>
    <w:p>
      <w:pPr>
        <w:autoSpaceDN w:val="0"/>
        <w:autoSpaceDE w:val="0"/>
        <w:widowControl/>
        <w:spacing w:line="245" w:lineRule="auto" w:before="122" w:after="0"/>
        <w:ind w:left="568" w:right="0" w:hanging="568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Vafeiadis, T., Dimitriou, N., Ioannidis, D., Wotherspoon, T., Tinker, G., ve Tzovaras, D. (2018). A Framework for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Inspection o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50" w:history="1">
          <w:r>
            <w:rPr>
              <w:rStyle w:val="Hyperlink"/>
            </w:rPr>
            <w:t>f Dies Attachment on PCB Utilizing Machine Lear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ning Techniques.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Journal of Management Analytics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,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5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(2), 81-94.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50" w:history="1">
          <w:r>
            <w:rPr>
              <w:rStyle w:val="Hyperlink"/>
            </w:rPr>
            <w:t xml:space="preserve"> https://doi.org/10.1080/23270012.2018.1434425 </w:t>
          </w:r>
        </w:hyperlink>
      </w:r>
    </w:p>
    <w:p>
      <w:pPr>
        <w:autoSpaceDN w:val="0"/>
        <w:autoSpaceDE w:val="0"/>
        <w:widowControl/>
        <w:spacing w:line="238" w:lineRule="auto" w:before="978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1014 </w:t>
      </w:r>
    </w:p>
    <w:p>
      <w:pPr>
        <w:sectPr>
          <w:pgSz w:w="11906" w:h="16838"/>
          <w:pgMar w:top="342" w:right="1066" w:bottom="284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2" w:firstLine="0"/>
        <w:jc w:val="right"/>
      </w:pP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[ GUSBID ] Gümüşhane Üniversitesi Sosyal Bilimler Dergisi, Yıl: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2023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Cilt: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14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>Sayı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>: 3</w:t>
      </w:r>
    </w:p>
    <w:p>
      <w:pPr>
        <w:autoSpaceDN w:val="0"/>
        <w:autoSpaceDE w:val="0"/>
        <w:widowControl/>
        <w:spacing w:line="245" w:lineRule="auto" w:before="218" w:after="0"/>
        <w:ind w:left="596" w:right="0" w:hanging="568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Wu, X., Kumar, V., Ross Quinlan, J., Ghosh, J., Yang, Q., Motoda, H., McLachlan, G. J., Ng, A., Liu, B., Yu, P. S., Zhou,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Z.-H., Steinbach, M., Hand, D. J., ve Steinberg, D. (2008). Top 10 algorithms in Data Mining.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Knowledge and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Information Systems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14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(1), 1-37.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51" w:history="1">
          <w:r>
            <w:rPr>
              <w:rStyle w:val="Hyperlink"/>
            </w:rPr>
            <w:t xml:space="preserve"> https://doi.org/10.1007/s10115-007-0114-2 </w:t>
          </w:r>
        </w:hyperlink>
      </w:r>
    </w:p>
    <w:p>
      <w:pPr>
        <w:autoSpaceDN w:val="0"/>
        <w:tabs>
          <w:tab w:pos="596" w:val="left"/>
        </w:tabs>
        <w:autoSpaceDE w:val="0"/>
        <w:widowControl/>
        <w:spacing w:line="245" w:lineRule="auto" w:before="120" w:after="0"/>
        <w:ind w:left="28" w:right="1152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>Zhou, Z.-H. (2021). Linear Models. In Z.-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51" w:history="1">
          <w:r>
            <w:rPr>
              <w:rStyle w:val="Hyperlink"/>
            </w:rPr>
            <w:t xml:space="preserve">H. Zhou (Ed.), </w:t>
          </w:r>
        </w:hyperlink>
      </w:r>
      <w:r>
        <w:rPr>
          <w:rFonts w:ascii="Arial Narrow" w:hAnsi="Arial Narrow" w:eastAsia="Arial Narrow"/>
          <w:b w:val="0"/>
          <w:i/>
          <w:color w:val="000000"/>
          <w:sz w:val="22"/>
        </w:rPr>
        <w:hyperlink r:id="rId51" w:history="1">
          <w:r>
            <w:rPr>
              <w:rStyle w:val="Hyperlink"/>
            </w:rPr>
            <w:t>Machine Learning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51" w:history="1">
          <w:r>
            <w:rPr>
              <w:rStyle w:val="Hyperlink"/>
            </w:rPr>
            <w:t xml:space="preserve"> (pp. 57-77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). Springer Singapore.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52" w:history="1">
          <w:r>
            <w:rPr>
              <w:rStyle w:val="Hyperlink"/>
            </w:rPr>
            <w:t xml:space="preserve">https://doi.org/10.1007/978-981-15-1967-3_3 </w:t>
          </w:r>
        </w:hyperlink>
      </w:r>
    </w:p>
    <w:p>
      <w:pPr>
        <w:autoSpaceDN w:val="0"/>
        <w:tabs>
          <w:tab w:pos="596" w:val="left"/>
        </w:tabs>
        <w:autoSpaceDE w:val="0"/>
        <w:widowControl/>
        <w:spacing w:line="245" w:lineRule="auto" w:before="120" w:after="0"/>
        <w:ind w:left="28" w:right="144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>Zhu, X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52" w:history="1">
          <w:r>
            <w:rPr>
              <w:rStyle w:val="Hyperlink"/>
            </w:rPr>
            <w:t>., Wang, H., Xu, L., ve Li, H. (2008). Predicting</w:t>
          </w:r>
        </w:hyperlink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 Stock Index Increments By Neural Networks: The Role of Trading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Volume Under Different Horizons. 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>Expert Systems with Applications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,</w:t>
      </w:r>
      <w:r>
        <w:rPr>
          <w:rFonts w:ascii="Arial Narrow" w:hAnsi="Arial Narrow" w:eastAsia="Arial Narrow"/>
          <w:b w:val="0"/>
          <w:i/>
          <w:color w:val="000000"/>
          <w:sz w:val="22"/>
        </w:rPr>
        <w:t xml:space="preserve"> 34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(4), 3043-3054. </w:t>
      </w:r>
    </w:p>
    <w:p>
      <w:pPr>
        <w:autoSpaceDN w:val="0"/>
        <w:autoSpaceDE w:val="0"/>
        <w:widowControl/>
        <w:spacing w:line="238" w:lineRule="auto" w:before="0" w:after="0"/>
        <w:ind w:left="596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hyperlink r:id="rId53" w:history="1">
          <w:r>
            <w:rPr>
              <w:rStyle w:val="Hyperlink"/>
            </w:rPr>
            <w:t xml:space="preserve">https://doi.org/10.1016/j.eswa.2007.06.023 </w:t>
          </w:r>
        </w:hyperlink>
      </w:r>
    </w:p>
    <w:p>
      <w:pPr>
        <w:autoSpaceDN w:val="0"/>
        <w:autoSpaceDE w:val="0"/>
        <w:widowControl/>
        <w:spacing w:line="238" w:lineRule="auto" w:before="492" w:after="0"/>
        <w:ind w:left="0" w:right="0" w:firstLine="0"/>
        <w:jc w:val="center"/>
      </w:pP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Extended Abstract </w:t>
      </w:r>
    </w:p>
    <w:p>
      <w:pPr>
        <w:autoSpaceDN w:val="0"/>
        <w:autoSpaceDE w:val="0"/>
        <w:widowControl/>
        <w:spacing w:line="238" w:lineRule="auto" w:before="120" w:after="0"/>
        <w:ind w:left="28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Aim and Scope </w:t>
      </w:r>
    </w:p>
    <w:p>
      <w:pPr>
        <w:autoSpaceDN w:val="0"/>
        <w:autoSpaceDE w:val="0"/>
        <w:widowControl/>
        <w:spacing w:line="245" w:lineRule="auto" w:before="122" w:after="0"/>
        <w:ind w:left="28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Various approaches have been established to accurately predict the direction of the values of securities. In this context,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stock market forecasting is both an interesting and challenging research topic. The biggest challenge facing speculators,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investors and businesses is to accurately predict price movements in financial and commodity markets. The difficult aspect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of forecasting the return of a stock market index is linking past data with the future. This linkage is generally addressed by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two research areas in the literature. The first one is an econometric model. These models include models such as linear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regression, AR, ARMA, ARCH and GARCH. The key point in applying these models depends on the assumptions that a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financial series must fulfill in order to guarantee the quality and reliability of the results. The second is machine learning.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These artificial intelligence-based models include artificial neural networks, genetic algorithms, fuzzy logic, support vector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machines, the random forest method, and particle swarm optimization. This study aims to predict the direction of the BIST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100 index using machine learning methods with monthly data for the period between 01:2002-09:2022. For this purpose,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firstly, BIST 100 index values are taken, and a two-group dependent variable is created as “1” for the cases where there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is an increase compared to the previous month and “0” for the cases where there is a decrease. Following Akbilgic et al.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(2014), the 1st and 2nd lagged values of BIST 100, S&amp;P 500, CAC40, FTSE10, NIKKEI225, DAX, SHANGAICOMP,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ONSUSD, USDTRY, VIX and REPO are taken as independent variables. </w:t>
      </w:r>
    </w:p>
    <w:p>
      <w:pPr>
        <w:autoSpaceDN w:val="0"/>
        <w:autoSpaceDE w:val="0"/>
        <w:widowControl/>
        <w:spacing w:line="238" w:lineRule="auto" w:before="120" w:after="0"/>
        <w:ind w:left="28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Methods </w:t>
      </w:r>
    </w:p>
    <w:p>
      <w:pPr>
        <w:autoSpaceDN w:val="0"/>
        <w:autoSpaceDE w:val="0"/>
        <w:widowControl/>
        <w:spacing w:line="245" w:lineRule="auto" w:before="120" w:after="0"/>
        <w:ind w:left="28" w:right="22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 total of nine different machine learning methods which are Logistic Regression Analysis (LR), Linear Discriminant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Analysis (LDA), Naive Bayes Algorithm (NB), Random Forests Algorithm (RF), K-Nearest Neighborhood Algorithm (KNN),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Classification and Regression Trees Algorithm (CART), Artificial Neural Networks (ANNET), Support Vector Machines with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Radial Basis Function (SVM-RBF), and Support Vector Machines with Polynomial Kernel Function (SVM-POLY) were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used. In this study, more machine learning methods (nine different methods) were used than in previous studies in the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literature and finally, it was revealed which method is the more successful forecasting method for BIST 100 index. </w:t>
      </w:r>
    </w:p>
    <w:p>
      <w:pPr>
        <w:autoSpaceDN w:val="0"/>
        <w:autoSpaceDE w:val="0"/>
        <w:widowControl/>
        <w:spacing w:line="240" w:lineRule="auto" w:before="118" w:after="0"/>
        <w:ind w:left="28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Findings </w:t>
      </w:r>
    </w:p>
    <w:p>
      <w:pPr>
        <w:autoSpaceDN w:val="0"/>
        <w:tabs>
          <w:tab w:pos="1192" w:val="left"/>
          <w:tab w:pos="1922" w:val="left"/>
          <w:tab w:pos="2462" w:val="left"/>
          <w:tab w:pos="2944" w:val="left"/>
          <w:tab w:pos="3484" w:val="left"/>
          <w:tab w:pos="4464" w:val="left"/>
          <w:tab w:pos="5074" w:val="left"/>
          <w:tab w:pos="5614" w:val="left"/>
          <w:tab w:pos="6244" w:val="left"/>
          <w:tab w:pos="7544" w:val="left"/>
          <w:tab w:pos="7974" w:val="left"/>
          <w:tab w:pos="8514" w:val="left"/>
          <w:tab w:pos="9204" w:val="left"/>
        </w:tabs>
        <w:autoSpaceDE w:val="0"/>
        <w:widowControl/>
        <w:spacing w:line="245" w:lineRule="auto" w:before="120" w:after="0"/>
        <w:ind w:left="28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It is seen that LR and LDA algorithms generally produce the most successful results in terms of ACC, F1 and MCC in the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long- and medium-term BIST 100 index direction prediction. In the short-term BIST 100 index direction prediction, SVM-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POLY results are more successful than other algorithms in terms of ACC and F1. However, in terms of MCC, LR and LDA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techniques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stand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out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as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methods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with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the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best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performance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in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the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short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term.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In general, when the test data are analyzed, it is seen that logistic regression analysis and linear discriminant analysis are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the most successful algorithms in predicting the direction of the BIST 100 index in the medium and long term with the help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of the variables considered. In addition to these analyses, the accuracy rate and F1-score were also found to be successful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algorithms. As a result, it is concluded that the performance of logistic regression analysis and linear discriminant analysis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algorithms is higher than that of other algorithms in the short, medium and long term. </w:t>
      </w:r>
    </w:p>
    <w:p>
      <w:pPr>
        <w:autoSpaceDN w:val="0"/>
        <w:autoSpaceDE w:val="0"/>
        <w:widowControl/>
        <w:spacing w:line="238" w:lineRule="auto" w:before="120" w:after="0"/>
        <w:ind w:left="28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Conclusion </w:t>
      </w:r>
    </w:p>
    <w:p>
      <w:pPr>
        <w:autoSpaceDN w:val="0"/>
        <w:tabs>
          <w:tab w:pos="700" w:val="left"/>
          <w:tab w:pos="1320" w:val="left"/>
          <w:tab w:pos="1938" w:val="left"/>
          <w:tab w:pos="2786" w:val="left"/>
          <w:tab w:pos="3306" w:val="left"/>
          <w:tab w:pos="3874" w:val="left"/>
          <w:tab w:pos="4482" w:val="left"/>
          <w:tab w:pos="5200" w:val="left"/>
          <w:tab w:pos="5608" w:val="left"/>
          <w:tab w:pos="6358" w:val="left"/>
          <w:tab w:pos="6826" w:val="left"/>
          <w:tab w:pos="7396" w:val="left"/>
          <w:tab w:pos="8364" w:val="left"/>
          <w:tab w:pos="8834" w:val="left"/>
        </w:tabs>
        <w:autoSpaceDE w:val="0"/>
        <w:widowControl/>
        <w:spacing w:line="245" w:lineRule="auto" w:before="120" w:after="0"/>
        <w:ind w:left="28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When the statistical results of the performance measurements of the test data are analyzed, LR and LDA rank first in the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long run with the same success level. In the medium term, it is seen that the same algorithmic models have high success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levels. While LR and LDA models are the most successful models in the long and medium term, the SVM-POLY model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outperforms the other models in the short term. In general, it can be said that LR and LDA models stand out in the direction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prediction of the BIST 100 index, followed by SVM-POLY and SVM-RBF models, and linear methods produce more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successful prediction results. Short-term investors should consider the SVM-POLY algorithm, while medium and long-term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BIST 100 investors should consider the LR and LDA algorithms. Since the RF algorithm gives good results on the training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data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bad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results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on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test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data,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it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leads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problem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of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overfitting.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In general, it is possible to state that machine learning methods can be used to predict the direction of the BIST 100 index. </w:t>
      </w:r>
    </w:p>
    <w:p>
      <w:pPr>
        <w:autoSpaceDN w:val="0"/>
        <w:autoSpaceDE w:val="0"/>
        <w:widowControl/>
        <w:spacing w:line="238" w:lineRule="auto" w:before="316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1015 </w:t>
      </w:r>
    </w:p>
    <w:p>
      <w:pPr>
        <w:sectPr>
          <w:pgSz w:w="11906" w:h="16838"/>
          <w:pgMar w:top="340" w:right="1062" w:bottom="284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70" w:firstLine="0"/>
        <w:jc w:val="right"/>
      </w:pP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[ GUSBID ] Gümüşhane Üniversitesi Sosyal Bilimler Dergisi, Yıl: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2023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Cilt: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14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>Sayı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>: 3</w:t>
      </w:r>
    </w:p>
    <w:p>
      <w:pPr>
        <w:autoSpaceDN w:val="0"/>
        <w:autoSpaceDE w:val="0"/>
        <w:widowControl/>
        <w:spacing w:line="245" w:lineRule="auto" w:before="218" w:after="0"/>
        <w:ind w:left="28" w:right="20" w:firstLine="0"/>
        <w:jc w:val="both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According to these results, the use of machine learning models to determine the direction of the stock market index by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investors, policymakers, and businesses operating on the stock exchange will increase their level of success. For future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studies, it is possible to use more parameters with high correlation. It is well known that stock prices depend on many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factors, such as government policies, company performance, investor interest, etc. News about any of these issues directly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affects stock prices. This news can be categorized as “good”, “very good”, “bad” or “worse” and included in the analysis. </w:t>
      </w:r>
      <w:r>
        <w:rPr>
          <w:rFonts w:ascii="Arial Narrow" w:hAnsi="Arial Narrow" w:eastAsia="Arial Narrow"/>
          <w:b w:val="0"/>
          <w:i w:val="0"/>
          <w:color w:val="000000"/>
          <w:sz w:val="22"/>
        </w:rPr>
        <w:t>Such a semi-supervised system would allow systems to be more robust and forecasts to be more accurate.</w:t>
      </w:r>
    </w:p>
    <w:p>
      <w:pPr>
        <w:autoSpaceDN w:val="0"/>
        <w:autoSpaceDE w:val="0"/>
        <w:widowControl/>
        <w:spacing w:line="238" w:lineRule="auto" w:before="494" w:after="0"/>
        <w:ind w:left="28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EK: </w:t>
      </w:r>
    </w:p>
    <w:p>
      <w:pPr>
        <w:autoSpaceDN w:val="0"/>
        <w:autoSpaceDE w:val="0"/>
        <w:widowControl/>
        <w:spacing w:line="238" w:lineRule="auto" w:before="120" w:after="0"/>
        <w:ind w:left="28" w:right="0" w:firstLine="0"/>
        <w:jc w:val="left"/>
      </w:pP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EK 1. Performans Ölçütleri Grafikleri </w:t>
      </w:r>
    </w:p>
    <w:p>
      <w:pPr>
        <w:autoSpaceDN w:val="0"/>
        <w:autoSpaceDE w:val="0"/>
        <w:widowControl/>
        <w:spacing w:line="245" w:lineRule="auto" w:before="118" w:after="0"/>
        <w:ind w:left="28" w:right="0" w:firstLine="0"/>
        <w:jc w:val="left"/>
      </w:pP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Şekil 1-6 arasında 10 tekrar için uzun dönem (%70-%30), orta dönem (%80-%20) ve kısa dönem (%90-%10) eğitim ve test verilerine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dair performans ölçütleri sonuçlarının kutu grafikleri gösterilmektedir. </w:t>
      </w:r>
    </w:p>
    <w:p>
      <w:pPr>
        <w:autoSpaceDN w:val="0"/>
        <w:autoSpaceDE w:val="0"/>
        <w:widowControl/>
        <w:spacing w:line="240" w:lineRule="auto" w:before="122" w:after="0"/>
        <w:ind w:left="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0240" cy="2612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1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Şekil 1. Uzun Dönem Eğitim Verilerine Ait Performans Ölçütlerinin Grafiksel Sonuçları (%70-%30) </w:t>
      </w:r>
    </w:p>
    <w:p>
      <w:pPr>
        <w:autoSpaceDN w:val="0"/>
        <w:autoSpaceDE w:val="0"/>
        <w:widowControl/>
        <w:spacing w:line="240" w:lineRule="auto" w:before="572" w:after="0"/>
        <w:ind w:left="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0240" cy="2783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8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120" w:after="0"/>
        <w:ind w:left="0" w:right="0" w:firstLine="0"/>
        <w:jc w:val="center"/>
      </w:pP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Şekil 2. Uzun Dönem Test Verilerine Ait Performans Ölçütlerinin Grafiksel Sonuçları (%70-%30) </w:t>
      </w:r>
    </w:p>
    <w:p>
      <w:pPr>
        <w:autoSpaceDN w:val="0"/>
        <w:autoSpaceDE w:val="0"/>
        <w:widowControl/>
        <w:spacing w:line="238" w:lineRule="auto" w:before="1738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1016 </w:t>
      </w:r>
    </w:p>
    <w:p>
      <w:pPr>
        <w:sectPr>
          <w:pgSz w:w="11906" w:h="16838"/>
          <w:pgMar w:top="340" w:right="1064" w:bottom="284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20" w:firstLine="0"/>
        <w:jc w:val="right"/>
      </w:pP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[ GUSBID ] Gümüşhane Üniversitesi Sosyal Bilimler Dergisi, Yıl: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2023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Cilt: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14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>Sayı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>: 3</w:t>
      </w:r>
    </w:p>
    <w:p>
      <w:pPr>
        <w:autoSpaceDN w:val="0"/>
        <w:autoSpaceDE w:val="0"/>
        <w:widowControl/>
        <w:spacing w:line="240" w:lineRule="auto" w:before="22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10" cy="28143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126" w:after="0"/>
        <w:ind w:left="0" w:right="0" w:firstLine="0"/>
        <w:jc w:val="center"/>
      </w:pP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Şekil 3. Orta Dönem Eğitim Verilerine Ait Performans Ölçütlerinin Grafiksel Sonuçları (%80-%20) </w:t>
      </w:r>
    </w:p>
    <w:p>
      <w:pPr>
        <w:autoSpaceDN w:val="0"/>
        <w:autoSpaceDE w:val="0"/>
        <w:widowControl/>
        <w:spacing w:line="240" w:lineRule="auto" w:before="20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10" cy="28168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0" w:after="0"/>
        <w:ind w:left="0" w:right="0" w:firstLine="0"/>
        <w:jc w:val="center"/>
      </w:pP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Şekil 4. Orta Dönem Test Verilerine Ait Performans Ölçütlerinin Grafiksel Sonuçları (%80-%20) </w:t>
      </w:r>
    </w:p>
    <w:p>
      <w:pPr>
        <w:autoSpaceDN w:val="0"/>
        <w:autoSpaceDE w:val="0"/>
        <w:widowControl/>
        <w:spacing w:line="238" w:lineRule="auto" w:before="4942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1017 </w:t>
      </w:r>
    </w:p>
    <w:p>
      <w:pPr>
        <w:sectPr>
          <w:pgSz w:w="11906" w:h="16838"/>
          <w:pgMar w:top="342" w:right="1114" w:bottom="28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0" w:right="50" w:firstLine="0"/>
        <w:jc w:val="right"/>
      </w:pP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[ GUSBID ] Gümüşhane Üniversitesi Sosyal Bilimler Dergisi, Yıl: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2023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 xml:space="preserve">Cilt: 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 xml:space="preserve">14 / </w:t>
      </w:r>
      <w:r>
        <w:rPr>
          <w:rFonts w:ascii="Arial Narrow" w:hAnsi="Arial Narrow" w:eastAsia="Arial Narrow"/>
          <w:b/>
          <w:i w:val="0"/>
          <w:color w:val="000000"/>
          <w:sz w:val="20"/>
        </w:rPr>
        <w:t>Sayı</w:t>
      </w:r>
      <w:r>
        <w:rPr>
          <w:rFonts w:ascii="Arial Narrow" w:hAnsi="Arial Narrow" w:eastAsia="Arial Narrow"/>
          <w:b w:val="0"/>
          <w:i w:val="0"/>
          <w:color w:val="000000"/>
          <w:sz w:val="20"/>
        </w:rPr>
        <w:t>: 3</w:t>
      </w:r>
    </w:p>
    <w:p>
      <w:pPr>
        <w:autoSpaceDN w:val="0"/>
        <w:autoSpaceDE w:val="0"/>
        <w:widowControl/>
        <w:spacing w:line="240" w:lineRule="auto" w:before="222" w:after="0"/>
        <w:ind w:left="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0240" cy="291973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19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236" w:after="0"/>
        <w:ind w:left="0" w:right="0" w:firstLine="0"/>
        <w:jc w:val="center"/>
      </w:pP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Şekil 5. Kısa Dönem Eğitim Verilerine Ait Performans Ölçütlerinin Grafiksel Sonuçları (%90-%10) </w:t>
      </w:r>
    </w:p>
    <w:p>
      <w:pPr>
        <w:autoSpaceDN w:val="0"/>
        <w:autoSpaceDE w:val="0"/>
        <w:widowControl/>
        <w:spacing w:line="240" w:lineRule="auto" w:before="574" w:after="0"/>
        <w:ind w:left="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0240" cy="289051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905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8" w:after="0"/>
        <w:ind w:left="0" w:right="0" w:firstLine="0"/>
        <w:jc w:val="center"/>
      </w:pPr>
      <w:r>
        <w:rPr>
          <w:rFonts w:ascii="Arial Narrow" w:hAnsi="Arial Narrow" w:eastAsia="Arial Narrow"/>
          <w:b/>
          <w:i w:val="0"/>
          <w:color w:val="000000"/>
          <w:sz w:val="22"/>
        </w:rPr>
        <w:t xml:space="preserve">Şekil 6. Kısa Dönem Test Verilerine Ait Performans Ölçütlerinin Grafiksel Sonuçları (%90-%10) </w:t>
      </w:r>
    </w:p>
    <w:p>
      <w:pPr>
        <w:autoSpaceDN w:val="0"/>
        <w:autoSpaceDE w:val="0"/>
        <w:widowControl/>
        <w:spacing w:line="238" w:lineRule="auto" w:before="4290" w:after="0"/>
        <w:ind w:left="0" w:right="0" w:firstLine="0"/>
        <w:jc w:val="center"/>
      </w:pPr>
      <w:r>
        <w:rPr>
          <w:rFonts w:ascii="Arial Narrow" w:hAnsi="Arial Narrow" w:eastAsia="Arial Narrow"/>
          <w:b w:val="0"/>
          <w:i w:val="0"/>
          <w:color w:val="000000"/>
          <w:sz w:val="22"/>
        </w:rPr>
        <w:t xml:space="preserve">1018 </w:t>
      </w:r>
    </w:p>
    <w:sectPr w:rsidR="00FC693F" w:rsidRPr="0006063C" w:rsidSect="00034616">
      <w:pgSz w:w="11906" w:h="16838"/>
      <w:pgMar w:top="340" w:right="1084" w:bottom="284" w:left="110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kubraakyol@bayburt.edu.tr" TargetMode="External"/><Relationship Id="rId10" Type="http://schemas.openxmlformats.org/officeDocument/2006/relationships/hyperlink" Target="https://orcid.org/0000-0002-1158-7017" TargetMode="External"/><Relationship Id="rId11" Type="http://schemas.openxmlformats.org/officeDocument/2006/relationships/hyperlink" Target="https://doi.org/10.1007/BF00126626" TargetMode="External"/><Relationship Id="rId12" Type="http://schemas.openxmlformats.org/officeDocument/2006/relationships/hyperlink" Target="https://doi.org/10.1007/s11222-013-9375-7" TargetMode="External"/><Relationship Id="rId13" Type="http://schemas.openxmlformats.org/officeDocument/2006/relationships/hyperlink" Target="http://dx.doi.org/10.20409/berj.2021.312" TargetMode="External"/><Relationship Id="rId14" Type="http://schemas.openxmlformats.org/officeDocument/2006/relationships/hyperlink" Target="https://doi.org/10.26650/ekoist.2022.37.1183809" TargetMode="External"/><Relationship Id="rId15" Type="http://schemas.openxmlformats.org/officeDocument/2006/relationships/hyperlink" Target="https://doi.org/https:/doi.org/10.1016/j.eswa.2008.07.006" TargetMode="External"/><Relationship Id="rId16" Type="http://schemas.openxmlformats.org/officeDocument/2006/relationships/hyperlink" Target="https://doi.org/https:/doi.org/10.1016/j.nimb.2006.11.040" TargetMode="External"/><Relationship Id="rId17" Type="http://schemas.openxmlformats.org/officeDocument/2006/relationships/hyperlink" Target="https://doi.org/10.1007/s11749-016-0481-7" TargetMode="External"/><Relationship Id="rId18" Type="http://schemas.openxmlformats.org/officeDocument/2006/relationships/hyperlink" Target="https://doi.org/10.1186/1471-2288-13-19" TargetMode="External"/><Relationship Id="rId19" Type="http://schemas.openxmlformats.org/officeDocument/2006/relationships/hyperlink" Target="https://doi.org/https:/doi.org/10.1016/j.eswa.2010.04.045" TargetMode="External"/><Relationship Id="rId20" Type="http://schemas.openxmlformats.org/officeDocument/2006/relationships/hyperlink" Target="https://doi.org/https:/doi.org/10.1016/j.aap.2006.04.009" TargetMode="External"/><Relationship Id="rId21" Type="http://schemas.openxmlformats.org/officeDocument/2006/relationships/hyperlink" Target="https://doi.org/10.54365/adyumbd.971461" TargetMode="External"/><Relationship Id="rId22" Type="http://schemas.openxmlformats.org/officeDocument/2006/relationships/hyperlink" Target="https://doi.org/10.17798/bitlisfen.889007" TargetMode="External"/><Relationship Id="rId23" Type="http://schemas.openxmlformats.org/officeDocument/2006/relationships/hyperlink" Target="https://doi.org/10.1109/WiCom.2008.1110" TargetMode="External"/><Relationship Id="rId24" Type="http://schemas.openxmlformats.org/officeDocument/2006/relationships/hyperlink" Target="https://doi.org/10.1007/s41870-019-00409-4" TargetMode="External"/><Relationship Id="rId25" Type="http://schemas.openxmlformats.org/officeDocument/2006/relationships/hyperlink" Target="https://doi.org/10.1109/UBMK.2019.8906995" TargetMode="External"/><Relationship Id="rId26" Type="http://schemas.openxmlformats.org/officeDocument/2006/relationships/hyperlink" Target="https://doi.org/10.1016/j.eswa.2011.02.068" TargetMode="External"/><Relationship Id="rId27" Type="http://schemas.openxmlformats.org/officeDocument/2006/relationships/hyperlink" Target="https://doi.org/https:/doi.org/10.1016/0169-2070(94)90045-0" TargetMode="External"/><Relationship Id="rId28" Type="http://schemas.openxmlformats.org/officeDocument/2006/relationships/hyperlink" Target="https://doi.org/https:/doi.org/10.1016/j.neucom.2018.01.038" TargetMode="External"/><Relationship Id="rId29" Type="http://schemas.openxmlformats.org/officeDocument/2006/relationships/hyperlink" Target="https://doi.org/10.1007/s10479-021-04187-w" TargetMode="External"/><Relationship Id="rId30" Type="http://schemas.openxmlformats.org/officeDocument/2006/relationships/hyperlink" Target="http://dx.doi.org/10.16992/ASOS.14460" TargetMode="External"/><Relationship Id="rId31" Type="http://schemas.openxmlformats.org/officeDocument/2006/relationships/hyperlink" Target="https://doi.org/https:/doi.org/10.1016/j.eswa.2010.10.027" TargetMode="External"/><Relationship Id="rId32" Type="http://schemas.openxmlformats.org/officeDocument/2006/relationships/hyperlink" Target="https://doi.org/10.1016/j.eswa.2009.05.044" TargetMode="External"/><Relationship Id="rId33" Type="http://schemas.openxmlformats.org/officeDocument/2006/relationships/hyperlink" Target="https://doi.org/10.1007/978-1-4419-1742-3_1" TargetMode="External"/><Relationship Id="rId34" Type="http://schemas.openxmlformats.org/officeDocument/2006/relationships/hyperlink" Target="https://doi.org/10.17153/oguiibf.636017" TargetMode="External"/><Relationship Id="rId35" Type="http://schemas.openxmlformats.org/officeDocument/2006/relationships/hyperlink" Target="https://doi.org/10.1109/ICPRIME.2013.6496450" TargetMode="External"/><Relationship Id="rId36" Type="http://schemas.openxmlformats.org/officeDocument/2006/relationships/hyperlink" Target="https://doi.org/10.1109/SIU.2013.6531240" TargetMode="External"/><Relationship Id="rId37" Type="http://schemas.openxmlformats.org/officeDocument/2006/relationships/hyperlink" Target="https://doi.org/https:/doi.org/10.1002/9781118874059.ch8" TargetMode="External"/><Relationship Id="rId38" Type="http://schemas.openxmlformats.org/officeDocument/2006/relationships/hyperlink" Target="https://doi.org/10.1007/978-3-642-34062-8_32" TargetMode="External"/><Relationship Id="rId39" Type="http://schemas.openxmlformats.org/officeDocument/2006/relationships/hyperlink" Target="https://doi.org/10.1109/UBMK50275.2020.9219478" TargetMode="External"/><Relationship Id="rId40" Type="http://schemas.openxmlformats.org/officeDocument/2006/relationships/hyperlink" Target="https://doi.org/10.1016/j.compag.2017.05.002" TargetMode="External"/><Relationship Id="rId41" Type="http://schemas.openxmlformats.org/officeDocument/2006/relationships/hyperlink" Target="https://doi.org/10.2136/sssaj2002.3520" TargetMode="External"/><Relationship Id="rId42" Type="http://schemas.openxmlformats.org/officeDocument/2006/relationships/hyperlink" Target="https://doi.org/10.1016/j.eswa.2015.08.008" TargetMode="External"/><Relationship Id="rId43" Type="http://schemas.openxmlformats.org/officeDocument/2006/relationships/hyperlink" Target="https://doi.org/10.29249/selcuksbmyd.487862" TargetMode="External"/><Relationship Id="rId44" Type="http://schemas.openxmlformats.org/officeDocument/2006/relationships/hyperlink" Target="https://doi.org/10.1016/j.eswa.2018.08.003" TargetMode="External"/><Relationship Id="rId45" Type="http://schemas.openxmlformats.org/officeDocument/2006/relationships/hyperlink" Target="https://doi.org/10.11616/asbi.1096346" TargetMode="External"/><Relationship Id="rId46" Type="http://schemas.openxmlformats.org/officeDocument/2006/relationships/hyperlink" Target="https://doi.org/10.1177/1536867x20909688" TargetMode="External"/><Relationship Id="rId47" Type="http://schemas.openxmlformats.org/officeDocument/2006/relationships/hyperlink" Target="https://dx.doi.org/10.14569/IJARAI.2015.040710" TargetMode="External"/><Relationship Id="rId48" Type="http://schemas.openxmlformats.org/officeDocument/2006/relationships/hyperlink" Target="https://doi.org/10.1016/j.compbiomed.2006.05.003" TargetMode="External"/><Relationship Id="rId49" Type="http://schemas.openxmlformats.org/officeDocument/2006/relationships/hyperlink" Target="https://doi.org/https:/doi.org/10.1111/j.1467-8640.2007.00303.x" TargetMode="External"/><Relationship Id="rId50" Type="http://schemas.openxmlformats.org/officeDocument/2006/relationships/hyperlink" Target="https://doi.org/10.1080/23270012.2018.1434425" TargetMode="External"/><Relationship Id="rId51" Type="http://schemas.openxmlformats.org/officeDocument/2006/relationships/hyperlink" Target="https://doi.org/10.1007/s10115-007-0114-2" TargetMode="External"/><Relationship Id="rId52" Type="http://schemas.openxmlformats.org/officeDocument/2006/relationships/hyperlink" Target="https://doi.org/10.1007/978-981-15-1967-3_3" TargetMode="External"/><Relationship Id="rId53" Type="http://schemas.openxmlformats.org/officeDocument/2006/relationships/hyperlink" Target="https://doi.org/10.1016/j.eswa.2007.06.023" TargetMode="External"/><Relationship Id="rId54" Type="http://schemas.openxmlformats.org/officeDocument/2006/relationships/image" Target="media/image1.png"/><Relationship Id="rId55" Type="http://schemas.openxmlformats.org/officeDocument/2006/relationships/image" Target="media/image2.png"/><Relationship Id="rId56" Type="http://schemas.openxmlformats.org/officeDocument/2006/relationships/image" Target="media/image3.png"/><Relationship Id="rId57" Type="http://schemas.openxmlformats.org/officeDocument/2006/relationships/image" Target="media/image4.png"/><Relationship Id="rId58" Type="http://schemas.openxmlformats.org/officeDocument/2006/relationships/image" Target="media/image5.png"/><Relationship Id="rId5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