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top w:val="single" w:color="1F3864" w:sz="12" w:space="1"/>
          <w:bottom w:val="single" w:color="1F3864" w:sz="12" w:space="1"/>
          <w:left w:val="single" w:color="1F3864" w:sz="12" w:space="1"/>
          <w:right w:val="single" w:color="1F3864" w:sz="12" w:space="1"/>
        </w:pBdr>
        <w:shd w:fill="1F3864" w:color="1F3864" w:val="clear"/>
        <w:spacing w:after="100" w:before="240"/>
        <w:jc w:val="center"/>
      </w:pPr>
      <w:r>
        <w:t xml:space="preserve">BASIN BÜLTENİ</w:t>
      </w:r>
    </w:p>
    <w:p>
      <w:pPr>
        <w:spacing w:after="240" w:before="200"/>
        <w:jc w:val="center"/>
      </w:pPr>
      <w:r>
        <w:t xml:space="preserve">Flindr</w:t>
      </w:r>
    </w:p>
    <w:p>
      <w:pPr>
        <w:pBdr>
          <w:top w:val="single" w:color="FF0000" w:sz="6" w:space="1"/>
          <w:bottom w:val="single" w:color="FF0000" w:sz="6" w:space="1"/>
          <w:left w:val="single" w:color="FF0000" w:sz="6" w:space="1"/>
          <w:right w:val="single" w:color="FF0000" w:sz="6" w:space="1"/>
        </w:pBdr>
        <w:spacing w:after="300" w:before="100"/>
        <w:jc w:val="center"/>
      </w:pPr>
      <w:r>
        <w:t xml:space="preserve">BASIN İÇİN AMBARGOSUZDUR</w:t>
      </w:r>
    </w:p>
    <w:p>
      <w:pPr>
        <w:pStyle w:val="Heading1"/>
        <w:spacing w:after="240" w:before="200"/>
        <w:jc w:val="center"/>
      </w:pPr>
      <w:r>
        <w:t xml:space="preserve">Flindr, Yapay Zeka Destekli Eşleştirme Motoru Match Engine v2.0'ı Türkiye'de Kullanıma Sundu</w:t>
      </w:r>
    </w:p>
    <w:p>
      <w:pPr>
        <w:spacing w:after="300" w:before="100"/>
        <w:jc w:val="center"/>
      </w:pPr>
      <w:r>
        <w:t xml:space="preserve">Türkiye'nin ilk AI tabanlı freelance eşleştirme platformu, 4 dakikalık ortalama eşleşme süresiyle piyasayı yeniden tanımlıyor</w:t>
      </w:r>
    </w:p>
    <w:p>
      <w:pPr>
        <w:spacing w:after="400" w:before="100"/>
        <w:jc w:val="center"/>
      </w:pPr>
      <w:r>
        <w:t xml:space="preserve">İstanbul, 4 Mart 2026 — BASIN İÇİN AMBARGOSUZDUR</w:t>
      </w:r>
    </w:p>
    <w:p>
      <w:pPr>
        <w:pStyle w:val="Heading2"/>
        <w:spacing w:after="120" w:before="200"/>
      </w:pPr>
      <w:r>
        <w:t xml:space="preserve">PARAGRAF 1 - Haber Girişi</w:t>
      </w:r>
    </w:p>
    <w:p>
      <w:pPr>
        <w:spacing w:after="300" w:before="120" w:line="360"/>
        <w:jc w:val="both"/>
      </w:pPr>
      <w:r>
        <w:t xml:space="preserve">Türkiye'nin bağımsız yetenekleri ile işletmeleri buluşturan dijital iş platformu Flindr, yapay zeka destekli eşleştirme motoru Match Engine v2.0'ı bugün tüm kullanıcılarına açtı. Yeni versiyon; freelancer profilleri, proje brief'leri ve geçmiş eşleşme verilerini analiz ederek ortalama 4 dakikada kişiselleştirilmiş iş-yetenek eşleştirmesi yapabiliyor. Platform, mevcut 2.400 kullanıcısına ek olarak ilk ay içinde 500 yeni kullanıcıya ulaşmayı hedefliyor.</w:t>
      </w:r>
    </w:p>
    <w:p>
      <w:pPr>
        <w:pStyle w:val="Heading2"/>
        <w:spacing w:after="120" w:before="200"/>
      </w:pPr>
      <w:r>
        <w:t xml:space="preserve">PARAGRAF 2 - Bağlam ve Farklılaştırıcı</w:t>
      </w:r>
    </w:p>
    <w:p>
      <w:pPr>
        <w:spacing w:after="300" w:before="120" w:line="360"/>
        <w:jc w:val="both"/>
      </w:pPr>
      <w:r>
        <w:t xml:space="preserve">Türkiye'de serbest çalışan profesyonel sayısının 2025 yılında 1,2 milyonu geçtiği tahmin edilirken, sektördeki en büyük sorun doğru proje-yetenek eşleştirmesi olmaya devam ediyor. Küresel platformlar ödeme altyapısı (PayPal yasağı), Türkçe destek eksikliği ve yüksek komisyon oranlarıyla Türk kullanıcılara sınırlı hizmet sunabiliyor; yerel alternatif Bionluk ise %20 komisyon ve küresel erişim eksikliğiyle eleştirilere konu oluyor. Flindr Match Engine v2.0, IBAN ve TL bazlı ödeme altyapısı, Türkçe öncelikli arayüz ve 0-100 arası "Uyum Skoru" sistemiyle bu boşluğu doldurmayı hedefliyor. Kapalı beta sürecinde platform, freelancerların iş bulma süresini ortalama %60 oranında azalttı; işletmeler ise ilk haftada ortalama 3 proje kapatabildiklerini bildirdi.</w:t>
      </w:r>
    </w:p>
    <w:p>
      <w:pPr>
        <w:pStyle w:val="Heading2"/>
        <w:spacing w:after="120" w:before="200"/>
      </w:pPr>
      <w:r>
        <w:t xml:space="preserve">PARAGRAF 3 - Gelecek Planlar ve Sektör Bağlamı</w:t>
      </w:r>
    </w:p>
    <w:p>
      <w:pPr>
        <w:spacing w:after="400" w:before="120" w:line="360"/>
        <w:jc w:val="both"/>
      </w:pPr>
      <w:r>
        <w:t xml:space="preserve">Flindr, v2.0 lansmanının ardından 2026 yılının ikinci çeyreğinde uluslararası pazarlara açılmayı, özellikle Türk diasporasının yoğun olduğu Almanya, Hollanda ve Körfez ülkelerini hedeflemeyi planlıyor. Şirket, aynı dönemde v3.0 için AI profil güçlendirme önerileri ve dinamik bütçe sinyalleri gibi özelliklerin geliştirme sürecine başlayacağını duyurdu. Türkiye'de freelance ekonomisinin 2026 yılında 4,5 milyar TL büyüklüğüne ulaşması bekleniyor.</w:t>
      </w:r>
    </w:p>
    <w:p>
      <w:pPr>
        <w:pStyle w:val="Heading2"/>
        <w:spacing w:after="120" w:before="300"/>
      </w:pPr>
      <w:r>
        <w:t xml:space="preserve">KURUCU ALINTISI</w:t>
      </w:r>
    </w:p>
    <w:p>
      <w:pPr>
        <w:pBdr>
          <w:left w:val="single" w:color="2E75B6" w:sz="24" w:space="1"/>
        </w:pBdr>
        <w:spacing w:after="120" w:before="120" w:line="360"/>
        <w:jc w:val="both"/>
      </w:pPr>
      <w:r>
        <w:t xml:space="preserve">"Türkiye'deki yetenekler her zaman küresel standartlarda çalışabilecek kapasiteye sahipti — sorun doğru kanalın olmamasıydı. Match Engine v2.0 ile hem Türk freelancerların global projelere erişimini hem de global şirketlerin Türk yeteneğe erişimini kolaylaştırıyoruz. Bu sadece bir platform güncellemesi değil; Türkiye'nin freelance ekosistemini yeniden tanımlama girişimi."</w:t>
      </w:r>
    </w:p>
    <w:p>
      <w:pPr>
        <w:spacing w:after="400" w:before="100"/>
        <w:jc w:val="left"/>
      </w:pPr>
      <w:r>
        <w:t xml:space="preserve">— [Kurucu Adı ve Soyadı], Kurucu &amp; CEO, Flindr</w:t>
      </w:r>
    </w:p>
    <w:p>
      <w:pPr>
        <w:pStyle w:val="Heading2"/>
        <w:spacing w:after="120" w:before="300"/>
      </w:pPr>
      <w:r>
        <w:t xml:space="preserve">ŞİRKET HAKKINDA</w:t>
      </w:r>
    </w:p>
    <w:p>
      <w:pPr>
        <w:spacing w:after="200" w:before="120" w:line="360"/>
        <w:jc w:val="both"/>
      </w:pPr>
      <w:r>
        <w:t xml:space="preserve">Flindr Teknoloji A.Ş., Türkiye'deki freelancer'lar ve işletmeleri buluşturmak amacıyla 2024 yılında kurulan bir teknoloji girişimidir. Şirket, yapay zeka destekli eşleştirme motoru, TL ve döviz bazlı ödeme altyapısı ve Türkçe öncelikli arayüzüyle Türkiye'ye özel bir serbest çalışma ekosistemi oluşturmayı hedeflemektedir. Platform; 2.400'den fazla kayıtlı kullanıcısı ve 450 tamamlanmış proje ile Türkiye'nin büyüyen freelance ekonomisine hizmet vermektedir.</w:t>
      </w:r>
    </w:p>
    <w:p>
      <w:pPr>
        <w:spacing w:after="400"/>
        <w:jc w:val="left"/>
      </w:pPr>
      <w:r>
        <w:t xml:space="preserve">Web: www.flindr.io</w:t>
      </w:r>
    </w:p>
    <w:p>
      <w:pPr>
        <w:pStyle w:val="Heading2"/>
        <w:spacing w:after="200" w:before="300"/>
      </w:pPr>
      <w:r>
        <w:t xml:space="preserve">İLETİŞİM BİLGİLERİ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2E75B6" w:sz="6" w:space="1"/>
              <w:left w:val="single" w:color="2E75B6" w:sz="6" w:space="1"/>
              <w:bottom w:val="single" w:color="2E75B6" w:sz="6" w:space="1"/>
              <w:right w:val="single" w:color="2E75B6" w:sz="6" w:space="1"/>
            </w:tcBorders>
            <w:shd w:fill="F0F0F0" w:color="F0F0F0" w:val="clear"/>
          </w:tcPr>
          <w:p>
            <w:r>
              <w:t xml:space="preserve">Basın İletişimi:</w:t>
            </w:r>
          </w:p>
        </w:tc>
        <w:tc>
          <w:tcPr>
            <w:tcW w:type="pct" w:w="70%"/>
            <w:tcBorders>
              <w:top w:val="single" w:color="2E75B6" w:sz="6" w:space="1"/>
              <w:left w:val="single" w:color="2E75B6" w:sz="6" w:space="1"/>
              <w:bottom w:val="single" w:color="2E75B6" w:sz="6" w:space="1"/>
              <w:right w:val="single" w:color="2E75B6" w:sz="6" w:space="1"/>
            </w:tcBorders>
          </w:tcPr>
          <w:p>
            <w:r>
              <w:t xml:space="preserve">[İletişim Adı Soyadı]</w:t>
            </w:r>
          </w:p>
        </w:tc>
      </w:tr>
      <w:tr>
        <w:tc>
          <w:tcPr>
            <w:tcW w:type="pct" w:w="30%"/>
            <w:tcBorders>
              <w:top w:val="single" w:color="2E75B6" w:sz="6" w:space="1"/>
              <w:left w:val="single" w:color="2E75B6" w:sz="6" w:space="1"/>
              <w:bottom w:val="single" w:color="2E75B6" w:sz="6" w:space="1"/>
              <w:right w:val="single" w:color="2E75B6" w:sz="6" w:space="1"/>
            </w:tcBorders>
            <w:shd w:fill="F0F0F0" w:color="F0F0F0" w:val="clear"/>
          </w:tcPr>
          <w:p>
            <w:r>
              <w:t xml:space="preserve">E-posta:</w:t>
            </w:r>
          </w:p>
        </w:tc>
        <w:tc>
          <w:tcPr>
            <w:tcW w:type="pct" w:w="70%"/>
            <w:tcBorders>
              <w:top w:val="single" w:color="2E75B6" w:sz="6" w:space="1"/>
              <w:left w:val="single" w:color="2E75B6" w:sz="6" w:space="1"/>
              <w:bottom w:val="single" w:color="2E75B6" w:sz="6" w:space="1"/>
              <w:right w:val="single" w:color="2E75B6" w:sz="6" w:space="1"/>
            </w:tcBorders>
          </w:tcPr>
          <w:p>
            <w:r>
              <w:t xml:space="preserve">basin@flindr.io</w:t>
            </w:r>
          </w:p>
        </w:tc>
      </w:tr>
      <w:tr>
        <w:tc>
          <w:tcPr>
            <w:tcW w:type="pct" w:w="30%"/>
            <w:tcBorders>
              <w:top w:val="single" w:color="2E75B6" w:sz="6" w:space="1"/>
              <w:left w:val="single" w:color="2E75B6" w:sz="6" w:space="1"/>
              <w:bottom w:val="single" w:color="2E75B6" w:sz="6" w:space="1"/>
              <w:right w:val="single" w:color="2E75B6" w:sz="6" w:space="1"/>
            </w:tcBorders>
            <w:shd w:fill="F0F0F0" w:color="F0F0F0" w:val="clear"/>
          </w:tcPr>
          <w:p>
            <w:r>
              <w:t xml:space="preserve">Telefon:</w:t>
            </w:r>
          </w:p>
        </w:tc>
        <w:tc>
          <w:tcPr>
            <w:tcW w:type="pct" w:w="70%"/>
            <w:tcBorders>
              <w:top w:val="single" w:color="2E75B6" w:sz="6" w:space="1"/>
              <w:left w:val="single" w:color="2E75B6" w:sz="6" w:space="1"/>
              <w:bottom w:val="single" w:color="2E75B6" w:sz="6" w:space="1"/>
              <w:right w:val="single" w:color="2E75B6" w:sz="6" w:space="1"/>
            </w:tcBorders>
          </w:tcPr>
          <w:p>
            <w:r>
              <w:t xml:space="preserve">+90 [•••] [•••] [••••]</w:t>
            </w:r>
          </w:p>
        </w:tc>
      </w:tr>
      <w:tr>
        <w:tc>
          <w:tcPr>
            <w:tcW w:type="pct" w:w="30%"/>
            <w:tcBorders>
              <w:top w:val="single" w:color="2E75B6" w:sz="6" w:space="1"/>
              <w:left w:val="single" w:color="2E75B6" w:sz="6" w:space="1"/>
              <w:bottom w:val="single" w:color="2E75B6" w:sz="6" w:space="1"/>
              <w:right w:val="single" w:color="2E75B6" w:sz="6" w:space="1"/>
            </w:tcBorders>
            <w:shd w:fill="F0F0F0" w:color="F0F0F0" w:val="clear"/>
          </w:tcPr>
          <w:p>
            <w:r>
              <w:t xml:space="preserve">Web:</w:t>
            </w:r>
          </w:p>
        </w:tc>
        <w:tc>
          <w:tcPr>
            <w:tcW w:type="pct" w:w="70%"/>
            <w:tcBorders>
              <w:top w:val="single" w:color="2E75B6" w:sz="6" w:space="1"/>
              <w:left w:val="single" w:color="2E75B6" w:sz="6" w:space="1"/>
              <w:bottom w:val="single" w:color="2E75B6" w:sz="6" w:space="1"/>
              <w:right w:val="single" w:color="2E75B6" w:sz="6" w:space="1"/>
            </w:tcBorders>
          </w:tcPr>
          <w:p>
            <w:r>
              <w:t xml:space="preserve">www.flindr.io/basin</w:t>
            </w:r>
          </w:p>
        </w:tc>
      </w:tr>
      <w:tr>
        <w:tc>
          <w:tcPr>
            <w:tcW w:type="pct" w:w="30%"/>
            <w:tcBorders>
              <w:top w:val="single" w:color="2E75B6" w:sz="6" w:space="1"/>
              <w:left w:val="single" w:color="2E75B6" w:sz="6" w:space="1"/>
              <w:bottom w:val="single" w:color="2E75B6" w:sz="6" w:space="1"/>
              <w:right w:val="single" w:color="2E75B6" w:sz="6" w:space="1"/>
            </w:tcBorders>
            <w:shd w:fill="F0F0F0" w:color="F0F0F0" w:val="clear"/>
          </w:tcPr>
          <w:p>
            <w:r>
              <w:t xml:space="preserve">LinkedIn:</w:t>
            </w:r>
          </w:p>
        </w:tc>
        <w:tc>
          <w:tcPr>
            <w:tcW w:type="pct" w:w="70%"/>
            <w:tcBorders>
              <w:top w:val="single" w:color="2E75B6" w:sz="6" w:space="1"/>
              <w:left w:val="single" w:color="2E75B6" w:sz="6" w:space="1"/>
              <w:bottom w:val="single" w:color="2E75B6" w:sz="6" w:space="1"/>
              <w:right w:val="single" w:color="2E75B6" w:sz="6" w:space="1"/>
            </w:tcBorders>
          </w:tcPr>
          <w:p>
            <w:r>
              <w:t xml:space="preserve">linkedin.com/company/flindr</w:t>
            </w:r>
          </w:p>
        </w:tc>
      </w:tr>
    </w:tbl>
    <w:p>
      <w:pPr>
        <w:spacing w:after="200" w:before="400"/>
        <w:jc w:val="center"/>
      </w:pPr>
      <w:r>
        <w:t xml:space="preserve">###</w:t>
      </w:r>
    </w:p>
    <w:p>
      <w:pPr>
        <w:spacing w:after="0" w:before="0"/>
        <w:jc w:val="center"/>
      </w:pPr>
      <w:r>
        <w:t xml:space="preserve">Flindr Basın İletişimi | basin@flindr.io | www.flindr.io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2026-03-04T21:45:20.524Z</dcterms:created>
  <dcterms:modified xsi:type="dcterms:W3CDTF">2026-03-04T21:45:20.524Z</dcterms:modified>
</cp:coreProperties>
</file>

<file path=docProps/custom.xml><?xml version="1.0" encoding="utf-8"?>
<Properties xmlns="http://schemas.openxmlformats.org/officeDocument/2006/custom-properties" xmlns:vt="http://schemas.openxmlformats.org/officeDocument/2006/docPropsVTypes"/>
</file>