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17365d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sz w:val="40"/>
          <w:szCs w:val="40"/>
          <w:rtl w:val="0"/>
        </w:rPr>
        <w:t xml:space="preserve">K. DORUK KARINCA</w:t>
      </w:r>
    </w:p>
    <w:p w:rsidR="00000000" w:rsidDel="00000000" w:rsidP="00000000" w:rsidRDefault="00000000" w:rsidRPr="00000000" w14:paraId="00000002">
      <w:pPr>
        <w:tabs>
          <w:tab w:val="center" w:pos="5399"/>
          <w:tab w:val="left" w:pos="9780"/>
        </w:tabs>
        <w:spacing w:after="100" w:lineRule="auto"/>
        <w:ind w:right="-28"/>
        <w:jc w:val="center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(310) 564-6161 </w:t>
      </w:r>
      <w:r w:rsidDel="00000000" w:rsidR="00000000" w:rsidRPr="00000000">
        <w:rPr>
          <w:sz w:val="19"/>
          <w:szCs w:val="19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dorukkarinca@gmail.com </w:t>
      </w:r>
      <w:r w:rsidDel="00000000" w:rsidR="00000000" w:rsidRPr="00000000">
        <w:rPr>
          <w:sz w:val="19"/>
          <w:szCs w:val="19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Los Angeles, CA </w:t>
      </w:r>
      <w:r w:rsidDel="00000000" w:rsidR="00000000" w:rsidRPr="00000000">
        <w:rPr>
          <w:sz w:val="19"/>
          <w:szCs w:val="19"/>
          <w:rtl w:val="0"/>
        </w:rPr>
        <w:t xml:space="preserve">—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9"/>
            <w:szCs w:val="19"/>
            <w:u w:val="single"/>
            <w:rtl w:val="0"/>
          </w:rPr>
          <w:t xml:space="preserve">github/dorukkarinca</w:t>
        </w:r>
      </w:hyperlink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—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19"/>
            <w:szCs w:val="19"/>
            <w:u w:val="single"/>
            <w:rtl w:val="0"/>
          </w:rPr>
          <w:t xml:space="preserve">linkedin/dorukkarinca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ind w:right="-28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University of California, Los Angeles (UCLA)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17796</wp:posOffset>
                </wp:positionV>
                <wp:extent cx="6624320" cy="1900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M.S. in Computer Science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3.92/4.0 GPA, Expected Jun 2021</w:t>
      </w:r>
    </w:p>
    <w:p w:rsidR="00000000" w:rsidDel="00000000" w:rsidP="00000000" w:rsidRDefault="00000000" w:rsidRPr="00000000" w14:paraId="00000006">
      <w:pPr>
        <w:tabs>
          <w:tab w:val="right" w:pos="10440"/>
        </w:tabs>
        <w:spacing w:line="276" w:lineRule="auto"/>
        <w:ind w:right="-28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B.S. in Computer Science and Engineering </w:t>
        <w:tab/>
        <w:t xml:space="preserve">3.5/4.0 GPA,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Computer Vision, NLP in Gender Bias, Statistical Bioinformatics, [Machine] Learnability Theory, Search Algorithms, Statistics, Discrete Math, Data Mining, Probabilistic Databases, Reinforcement Learning</w:t>
      </w:r>
    </w:p>
    <w:p w:rsidR="00000000" w:rsidDel="00000000" w:rsidP="00000000" w:rsidRDefault="00000000" w:rsidRPr="00000000" w14:paraId="00000008">
      <w:pPr>
        <w:tabs>
          <w:tab w:val="right" w:pos="10493"/>
        </w:tabs>
        <w:spacing w:line="276" w:lineRule="auto"/>
        <w:ind w:left="283" w:right="-2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Honors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Dean’s Honors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WORK EXPERIENCE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246396</wp:posOffset>
                </wp:positionV>
                <wp:extent cx="6624320" cy="1900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UCLA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Machines Group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Los Angeles, CA</w:t>
      </w:r>
    </w:p>
    <w:p w:rsidR="00000000" w:rsidDel="00000000" w:rsidP="00000000" w:rsidRDefault="00000000" w:rsidRPr="00000000" w14:paraId="0000000B">
      <w:pP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Graduate Student Rotation Researcher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 2020 – Present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Detect heart rate and blood oxygen levels from webcam videos of people’s faces for telemedicine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pos="7290"/>
          <w:tab w:val="right" w:pos="10799"/>
        </w:tabs>
        <w:spacing w:line="276" w:lineRule="auto"/>
        <w:ind w:left="374" w:right="-29" w:hanging="187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provisional-patented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model to help reduce in-person doctor visits during the pandemic.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LendingClub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 Francisco, CA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2019 – Aug 2019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Implemented full-stack click tracker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React, Node, SQL, Spring Boot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collect users’ loan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Captured 800+ clicks/week on partner loans using this tracker, gathering key business insights on user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Revised UI state management for loan offers page to preserve user’s progress even after a browser refresh.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6210"/>
          <w:tab w:val="right" w:pos="10440"/>
        </w:tabs>
        <w:spacing w:before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Veritas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Santa Clara, CA and Mountain View, CA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5850"/>
          <w:tab w:val="right" w:pos="10440"/>
        </w:tabs>
        <w:spacing w:after="80" w:lineRule="auto"/>
        <w:ind w:right="-2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 2018 – Sep 2018 and Jun 2017 – Sep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authentication client &amp; server compatible with Veritas products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RSA crypt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PL/SQL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full-stack desktop app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Spring Boot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JavaFX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to auto-renew users’ expiring Veritas licenses.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Wrote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 to analyze any PDF invoice heuristically using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Tesseract and LingPipe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NLP,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extracting payment date, tax amount etc. saving time by eliminat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manual data entry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providing service to 86%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Fortune 500 firms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18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Improved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navigation experience for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customers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like Intel, T-Mobile, and BofA.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76" w:lineRule="auto"/>
        <w:ind w:left="374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Organized events as a lead intern and wrote articles on Veritas’ on-campus life with interns.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440"/>
        </w:tabs>
        <w:spacing w:before="80" w:lineRule="auto"/>
        <w:ind w:right="-2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Howard Hughes Medical Institute, Ozcan Research Group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7290"/>
          <w:tab w:val="right" w:pos="10440"/>
        </w:tabs>
        <w:spacing w:after="80" w:lineRule="auto"/>
        <w:ind w:right="-29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Undergraduate Researcher and Developer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Dec 2015 – Mar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Contributed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academic papers,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11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conference proceedings and 4 oral presentations overall.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MATLAB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machine learning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image analysis using Boosted Tree &amp;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neural network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Raised sickle cell anemia detection accuracy from portable microscope images from 75% to 92%.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Reduced diagnosis costs in Sub-Saharan African countries having &gt;150,000 deaths/year.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right="-28" w:hanging="18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white"/>
          <w:rtl w:val="0"/>
        </w:rPr>
        <w:t xml:space="preserve">Best Project Award at Ozcan Research Group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showcase.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240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PERSONAL PROJECTS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322596</wp:posOffset>
                </wp:positionV>
                <wp:extent cx="6624320" cy="1900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keras-buoy (Github: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github.com/dorukkarinca/keras-buoy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Sep 2018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Keras wrapper that automatically recovers from a crashed/accidentally-cancelled ML training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Made pip package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help aspiring data scientists train ML models for longer periods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tabs>
          <w:tab w:val="right" w:pos="10771"/>
        </w:tabs>
        <w:spacing w:line="276" w:lineRule="auto"/>
        <w:ind w:left="360" w:hanging="18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received 10 stars and 4 forks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10440"/>
        </w:tabs>
        <w:spacing w:before="8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Uplift (Android app)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  <w:tab/>
        <w:t xml:space="preserve">Nov 2016 and Apr 2015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Built backend of social network application based on location-based content ranking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Top 10 Prize at LA Hacks, UCLA’s hackathon, among 200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3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Won Facebook Award: Best Product among 10 teams, as decided by a jury of Facebook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80" w:line="276" w:lineRule="auto"/>
        <w:ind w:right="-29"/>
        <w:rPr>
          <w:rFonts w:ascii="Arial" w:cs="Arial" w:eastAsia="Arial" w:hAnsi="Arial"/>
          <w:b w:val="1"/>
          <w:color w:val="17365d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rtl w:val="0"/>
        </w:rPr>
        <w:t xml:space="preserve">TECHNICAL SKILLS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603" y="3757141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233696</wp:posOffset>
                </wp:positionV>
                <wp:extent cx="6624320" cy="1900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320" cy="19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Proficient: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Python (Keras, Pytorch), Java (Spring Boot), MATLAB.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374" w:right="-29" w:hanging="187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Basic: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TensorFlow,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PL/SQL, Bash.</w:t>
      </w:r>
      <w:r w:rsidDel="00000000" w:rsidR="00000000" w:rsidRPr="00000000">
        <w:rPr>
          <w:rtl w:val="0"/>
        </w:rPr>
      </w:r>
    </w:p>
    <w:sectPr>
      <w:pgSz w:h="16837" w:w="11905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orukkarinca/keras-buoy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dorukkarinca" TargetMode="External"/><Relationship Id="rId7" Type="http://schemas.openxmlformats.org/officeDocument/2006/relationships/hyperlink" Target="https://linkedin.com/in/dorukkarinc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