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32.jpg" ContentType="image/jpeg"/>
  <Override PartName="/word/media/rId3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 на julia и openmodelica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хищник-жертва"/>
    <w:p>
      <w:pPr>
        <w:pStyle w:val="Heading2"/>
      </w:pPr>
      <w:r>
        <w:t xml:space="preserve">хищник жертва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FirstParagraph"/>
      </w:pPr>
      <w:r>
        <w:rPr>
          <w:bCs/>
          <w:b/>
        </w:rPr>
        <w:t xml:space="preserve">Задача:</w:t>
      </w:r>
    </w:p>
    <w:p>
      <w:pPr>
        <w:pStyle w:val="BodyText"/>
      </w:pP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 Данная модель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a, d - коэффициенты смертности</w:t>
      </w:r>
    </w:p>
    <w:p>
      <w:pPr>
        <w:pStyle w:val="BodyText"/>
      </w:pPr>
      <w:r>
        <w:t xml:space="preserve">b, c - коэффициенты прироста популяции</w:t>
      </w:r>
    </w:p>
    <w:bookmarkEnd w:id="21"/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1032204917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70) + 1</w:t>
      </w:r>
      <w:r>
        <w:br/>
      </w:r>
      <w:r>
        <w:rPr>
          <w:rStyle w:val="Variable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"Вариант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0.06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0.6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FirstParagraph"/>
      </w:pP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rPr>
          <w:rStyle w:val="NormalTok"/>
        </w:rPr>
        <w:t xml:space="preserve">tdil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(t0, tmax)</w:t>
      </w:r>
      <w:r>
        <w:br/>
      </w:r>
      <w:r>
        <w:rPr>
          <w:rStyle w:val="NormalTok"/>
        </w:rPr>
        <w:t xml:space="preserve">function func1(dy, y, p, t)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ODEProblem(func1, u0, tdil)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solve(p1,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plot(s1, </w:t>
      </w:r>
      <w:r>
        <w:rPr>
          <w:rStyle w:val="BuiltInTok"/>
        </w:rPr>
        <w:t xml:space="preserve">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432687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  <w:r>
        <w:t xml:space="preserve"> </w:t>
      </w:r>
      <w:r>
        <w:drawing>
          <wp:inline>
            <wp:extent cx="5334000" cy="3439849"/>
            <wp:effectExtent b="0" l="0" r="0" t="0"/>
            <wp:docPr descr="secondcasejulia" title="" id="27" name="Picture"/>
            <a:graphic>
              <a:graphicData uri="http://schemas.openxmlformats.org/drawingml/2006/picture">
                <pic:pic>
                  <pic:nvPicPr>
                    <pic:cNvPr descr="image/julia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{pic#002::juliasecondcase}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lab05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lab05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3432687"/>
            <wp:effectExtent b="0" l="0" r="0" t="0"/>
            <wp:docPr descr="zerocasemodelica" title="" id="30" name="Picture"/>
            <a:graphic>
              <a:graphicData uri="http://schemas.openxmlformats.org/drawingml/2006/picture">
                <pic:pic>
                  <pic:nvPicPr>
                    <pic:cNvPr descr="image/modelica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  <w:r>
        <w:t xml:space="preserve"> </w:t>
      </w:r>
      <w:r>
        <w:drawing>
          <wp:inline>
            <wp:extent cx="5334000" cy="2134510"/>
            <wp:effectExtent b="0" l="0" r="0" t="0"/>
            <wp:docPr descr="firstcasemodelica" title="" id="33" name="Picture"/>
            <a:graphic>
              <a:graphicData uri="http://schemas.openxmlformats.org/drawingml/2006/picture">
                <pic:pic>
                  <pic:nvPicPr>
                    <pic:cNvPr descr="image/modelica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  <w:r>
        <w:t xml:space="preserve"> </w:t>
      </w:r>
      <w:r>
        <w:drawing>
          <wp:inline>
            <wp:extent cx="5334000" cy="2139061"/>
            <wp:effectExtent b="0" l="0" r="0" t="0"/>
            <wp:docPr descr="secondcasemodelica" title="" id="36" name="Picture"/>
            <a:graphic>
              <a:graphicData uri="http://schemas.openxmlformats.org/drawingml/2006/picture">
                <pic:pic>
                  <pic:nvPicPr>
                    <pic:cNvPr descr="image/modelica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{pic#002::modelicasecondcase}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Построено график зависимости численности хищников от численности жертв на julia и openmodelica</w:t>
      </w:r>
    </w:p>
    <w:p>
      <w:pPr>
        <w:numPr>
          <w:ilvl w:val="0"/>
          <w:numId w:val="1003"/>
        </w:numPr>
        <w:pStyle w:val="Compact"/>
      </w:pPr>
      <w:r>
        <w:t xml:space="preserve">узнал про иоделе хищник жертва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40">
        <w:r>
          <w:rPr>
            <w:rStyle w:val="Hyperlink"/>
          </w:rPr>
          <w:t xml:space="preserve">хищник жертва</w:t>
        </w:r>
      </w:hyperlink>
      <w:r>
        <w:t xml:space="preserve"> </w:t>
      </w:r>
      <w:r>
        <w:t xml:space="preserve">{хищник жертва}</w:t>
      </w:r>
    </w:p>
    <w:p>
      <w:pPr>
        <w:pStyle w:val="BodyText"/>
      </w:pPr>
      <w:r>
        <w:t xml:space="preserve">:::</w:t>
      </w:r>
      <w:r>
        <w:t xml:space="preserve"> </w:t>
      </w:r>
      <w:hyperlink r:id="rId41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{julia}</w:t>
      </w:r>
    </w:p>
    <w:p>
      <w:pPr>
        <w:pStyle w:val="BodyText"/>
      </w:pPr>
      <w:r>
        <w:t xml:space="preserve">:::</w:t>
      </w:r>
      <w:r>
        <w:t xml:space="preserve"> </w:t>
      </w:r>
      <w:hyperlink r:id="rId42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{openmodelica}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hyperlink" Id="rId41" Target="https://julialang.org" TargetMode="External" /><Relationship Type="http://schemas.openxmlformats.org/officeDocument/2006/relationships/hyperlink" Id="rId42" Target="https://openmodelica.org" TargetMode="External" /><Relationship Type="http://schemas.openxmlformats.org/officeDocument/2006/relationships/hyperlink" Id="rId40" Target="https://ru.wikipedia.org/wiki/&#1057;&#1080;&#1089;&#1090;&#1077;&#1084;&#1072;_&#171;&#1093;&#1080;&#1097;&#1085;&#1080;&#1082;_&#8212;_&#1078;&#1077;&#1088;&#1090;&#1074;&#1072;&#187;#:~:text=&#1057;&#1080;&#1089;&#1090;&#1077;&#1084;&#1072;%20&#171;&#1093;&#1080;&#1097;&#1085;&#1080;&#1082;%20&#8212;%20&#1078;&#1077;&#1088;&#1090;&#1074;&#1072;&#187;%20&#8212;%20&#1089;&#1083;&#1086;&#1078;&#1085;&#1072;&#1103;%20&#1101;&#1082;&#1086;&#1089;&#1080;&#1089;&#1090;&#1077;&#1084;&#1072;%2C%20&#1076;&#1083;&#1103;%20&#1082;&#1086;&#1090;&#1086;&#1088;&#1086;&#1081;,&#1094;&#1080;&#1082;&#1083;&#1080;&#1095;&#1077;&#1089;&#1082;&#1080;%2C%20&#1103;&#1074;&#1083;&#1103;&#1103;&#1089;&#1100;%20&#1080;&#1083;&#1083;&#1102;&#1089;&#1090;&#1088;&#1072;&#1094;&#1080;&#1077;&#1081;%20&#1085;&#1077;&#1081;&#1090;&#1088;&#1072;&#1083;&#1100;&#1085;&#1086;&#1075;&#1086;%20&#1088;&#1072;&#1074;&#1085;&#1086;&#1074;&#1077;&#1089;&#1080;&#1103;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julialang.org" TargetMode="External" /><Relationship Type="http://schemas.openxmlformats.org/officeDocument/2006/relationships/hyperlink" Id="rId42" Target="https://openmodelica.org" TargetMode="External" /><Relationship Type="http://schemas.openxmlformats.org/officeDocument/2006/relationships/hyperlink" Id="rId40" Target="https://ru.wikipedia.org/wiki/&#1057;&#1080;&#1089;&#1090;&#1077;&#1084;&#1072;_&#171;&#1093;&#1080;&#1097;&#1085;&#1080;&#1082;_&#8212;_&#1078;&#1077;&#1088;&#1090;&#1074;&#1072;&#187;#:~:text=&#1057;&#1080;&#1089;&#1090;&#1077;&#1084;&#1072;%20&#171;&#1093;&#1080;&#1097;&#1085;&#1080;&#1082;%20&#8212;%20&#1078;&#1077;&#1088;&#1090;&#1074;&#1072;&#187;%20&#8212;%20&#1089;&#1083;&#1086;&#1078;&#1085;&#1072;&#1103;%20&#1101;&#1082;&#1086;&#1089;&#1080;&#1089;&#1090;&#1077;&#1084;&#1072;%2C%20&#1076;&#1083;&#1103;%20&#1082;&#1086;&#1090;&#1086;&#1088;&#1086;&#1081;,&#1094;&#1080;&#1082;&#1083;&#1080;&#1095;&#1077;&#1089;&#1082;&#1080;%2C%20&#1103;&#1074;&#1083;&#1103;&#1103;&#1089;&#1100;%20&#1080;&#1083;&#1083;&#1102;&#1089;&#1090;&#1088;&#1072;&#1094;&#1080;&#1077;&#1081;%20&#1085;&#1077;&#1081;&#1090;&#1088;&#1072;&#1083;&#1100;&#1085;&#1086;&#1075;&#1086;%20&#1088;&#1072;&#1074;&#1085;&#1086;&#1074;&#1077;&#1089;&#1080;&#1103;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2023-03-11T15:26:17Z</dcterms:created>
  <dcterms:modified xsi:type="dcterms:W3CDTF">2023-03-11T15:26:17Z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