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52"/>
        </w:rPr>
        <w:t>ALEXANDER WRIGHT</w:t>
      </w:r>
    </w:p>
    <w:p>
      <w:pPr>
        <w:spacing w:after="240"/>
        <w:jc w:val="center"/>
      </w:pPr>
      <w:r>
        <w:rPr>
          <w:i/>
          <w:color w:val="7F7F7F"/>
          <w:sz w:val="26"/>
        </w:rPr>
        <w:t>Senior Systems Architect &amp; Technical Consultant</w:t>
      </w:r>
    </w:p>
    <w:p>
      <w:pPr>
        <w:spacing w:after="480"/>
        <w:jc w:val="center"/>
      </w:pPr>
      <w:r>
        <w:rPr>
          <w:sz w:val="19"/>
        </w:rPr>
        <w:t>+1 (555) 019-2834   |   alexander.wright@email.com   |   linkedin.com/in/alexanderwright   |   London, UK</w:t>
      </w:r>
    </w:p>
    <w:p>
      <w:pPr>
        <w:keepNext/>
        <w:spacing w:before="320" w:after="120"/>
      </w:pPr>
      <w:r>
        <w:rPr>
          <w:b/>
          <w:color w:val="1F4E79"/>
          <w:sz w:val="26"/>
        </w:rPr>
        <w:t>PROFESSIONAL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rPr>
          <w:trHeight w:val="30"/>
        </w:trPr>
        <w:tc>
          <w:tcPr>
            <w:tcW w:type="dxa" w:w="9936"/>
            <w:shd w:val="clear" w:color="auto" w:fill="1F4E79"/>
          </w:tcPr>
          <w:p/>
        </w:tc>
      </w:tr>
    </w:tbl>
    <w:p>
      <w:pPr>
        <w:spacing w:before="80" w:after="0"/>
      </w:pPr>
    </w:p>
    <w:p>
      <w:pPr>
        <w:spacing w:line="276" w:lineRule="auto" w:after="240"/>
      </w:pPr>
      <w:r>
        <w:t>Highly accomplished Systems Architect and IT Consultant with over 8 years of experience designing, deploying, and optimizing robust enterprise cloud architectures and microservices. Adept at steering cross-functional technical teams, managing high-stakes migration frameworks, and hardening data infrastructure compliance. Proven track record of aligning bleeding-edge technology roadmaps with corporate strategic objectives to maximize operational efficiency and scalability.</w:t>
      </w:r>
    </w:p>
    <w:p>
      <w:pPr>
        <w:keepNext/>
        <w:spacing w:before="320" w:after="120"/>
      </w:pPr>
      <w:r>
        <w:rPr>
          <w:b/>
          <w:color w:val="1F4E79"/>
          <w:sz w:val="2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rPr>
          <w:trHeight w:val="30"/>
        </w:trPr>
        <w:tc>
          <w:tcPr>
            <w:tcW w:type="dxa" w:w="9936"/>
            <w:shd w:val="clear" w:color="auto" w:fill="1F4E79"/>
          </w:tcPr>
          <w:p/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Cloud Architecture (AWS, Azure)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Microservices (Docker, K8s)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Network Security &amp; Hardening</w:t>
            </w:r>
          </w:p>
        </w:tc>
      </w:tr>
      <w:tr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CI/CD Pipeline Automation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Database Optimization (SQL/NoSQL)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Enterprise Risk Mitigation</w:t>
            </w:r>
          </w:p>
        </w:tc>
      </w:tr>
      <w:tr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Agile Methodology &amp; Scrum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Cross-Functional Leadership</w:t>
            </w:r>
          </w:p>
        </w:tc>
        <w:tc>
          <w:tcPr>
            <w:tcW w:type="dxa" w:w="3312"/>
          </w:tcPr>
          <w:p>
            <w:pPr>
              <w:spacing w:after="80"/>
              <w:ind w:left="216"/>
            </w:pPr>
            <w:r>
              <w:rPr>
                <w:sz w:val="20"/>
              </w:rPr>
              <w:t>•  Technical Vendor Management</w:t>
            </w:r>
          </w:p>
        </w:tc>
      </w:tr>
    </w:tbl>
    <w:p>
      <w:pPr>
        <w:spacing w:before="160"/>
      </w:pPr>
    </w:p>
    <w:p>
      <w:pPr>
        <w:keepNext/>
        <w:spacing w:before="320" w:after="120"/>
      </w:pPr>
      <w:r>
        <w:rPr>
          <w:b/>
          <w:color w:val="1F4E79"/>
          <w:sz w:val="26"/>
        </w:rPr>
        <w:t>PROFESSIONAL EXPERIENCE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rPr>
          <w:trHeight w:val="30"/>
        </w:trPr>
        <w:tc>
          <w:tcPr>
            <w:tcW w:type="dxa" w:w="9936"/>
            <w:shd w:val="clear" w:color="auto" w:fill="1F4E79"/>
          </w:tcPr>
          <w:p/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7056"/>
          </w:tcPr>
          <w:p>
            <w:pPr>
              <w:spacing w:after="40"/>
            </w:pPr>
            <w:r>
              <w:rPr>
                <w:b/>
                <w:sz w:val="22"/>
              </w:rPr>
              <w:t>Lead Infrastructure Consultant</w:t>
            </w:r>
            <w:r>
              <w:rPr>
                <w:color w:val="7F7F7F"/>
                <w:sz w:val="21"/>
              </w:rPr>
              <w:t xml:space="preserve">  —  Vanguard Tech Solutions, London, UK</w:t>
            </w:r>
          </w:p>
        </w:tc>
        <w:tc>
          <w:tcPr>
            <w:tcW w:type="dxa" w:w="2880"/>
          </w:tcPr>
          <w:p>
            <w:pPr>
              <w:spacing w:after="40"/>
              <w:jc w:val="right"/>
            </w:pPr>
            <w:r>
              <w:rPr>
                <w:i/>
                <w:color w:val="7F7F7F"/>
                <w:sz w:val="20"/>
              </w:rPr>
              <w:t>2023 — Present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sz w:val="20"/>
        </w:rPr>
        <w:t>Architected and deployed a highly redundant AWS multi-region infrastructure handling over 4M+ daily active API transactions, successfully reducing latency metrics by 28%.</w:t>
      </w:r>
    </w:p>
    <w:p>
      <w:pPr>
        <w:pStyle w:val="ListBullet"/>
        <w:spacing w:before="0" w:after="60" w:line="276" w:lineRule="auto"/>
      </w:pPr>
      <w:r>
        <w:rPr>
          <w:sz w:val="20"/>
        </w:rPr>
        <w:t>Directed a cross-functional engineering squad of 8 to complete a complex on-premises migration pipeline to cloud native containers 6 weeks ahead of projected milestones.</w:t>
      </w:r>
    </w:p>
    <w:p>
      <w:pPr>
        <w:pStyle w:val="ListBullet"/>
        <w:spacing w:before="0" w:after="60" w:line="276" w:lineRule="auto"/>
      </w:pPr>
      <w:r>
        <w:rPr>
          <w:sz w:val="20"/>
        </w:rPr>
        <w:t>Implemented an automated CI/CD pipeline environment utilizing Jenkins and Terraform, reducing engineering deployment cycle failure frequency by 35%.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7056"/>
          </w:tcPr>
          <w:p>
            <w:pPr>
              <w:spacing w:after="40"/>
            </w:pPr>
            <w:r>
              <w:rPr>
                <w:b/>
                <w:sz w:val="22"/>
              </w:rPr>
              <w:t>Senior Systems Engineer</w:t>
            </w:r>
            <w:r>
              <w:rPr>
                <w:color w:val="7F7F7F"/>
                <w:sz w:val="21"/>
              </w:rPr>
              <w:t xml:space="preserve">  —  Apex Digital Systems, Manchester, UK</w:t>
            </w:r>
          </w:p>
        </w:tc>
        <w:tc>
          <w:tcPr>
            <w:tcW w:type="dxa" w:w="2880"/>
          </w:tcPr>
          <w:p>
            <w:pPr>
              <w:spacing w:after="40"/>
              <w:jc w:val="right"/>
            </w:pPr>
            <w:r>
              <w:rPr>
                <w:i/>
                <w:color w:val="7F7F7F"/>
                <w:sz w:val="20"/>
              </w:rPr>
              <w:t>2019 — 2023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sz w:val="20"/>
        </w:rPr>
        <w:t>Spearheaded database schema overhaul and caching structural implementation strategy using Redis, improving dashboard visualization speeds by 42%.</w:t>
      </w:r>
    </w:p>
    <w:p>
      <w:pPr>
        <w:pStyle w:val="ListBullet"/>
        <w:spacing w:before="0" w:after="60" w:line="276" w:lineRule="auto"/>
      </w:pPr>
      <w:r>
        <w:rPr>
          <w:sz w:val="20"/>
        </w:rPr>
        <w:t>Designed automated security baseline assessment scripts to isolate and patch server vulnerabilities, meeting strict ISO 27001 standard frameworks across enterprise nodes.</w:t>
      </w:r>
    </w:p>
    <w:p>
      <w:pPr>
        <w:pStyle w:val="ListBullet"/>
        <w:spacing w:before="0" w:after="60" w:line="276" w:lineRule="auto"/>
      </w:pPr>
      <w:r>
        <w:rPr>
          <w:sz w:val="20"/>
        </w:rPr>
        <w:t>Mentored 5 junior technical team members through structural career development targets and implemented agile best practices.</w:t>
      </w:r>
    </w:p>
    <w:p>
      <w:pPr>
        <w:spacing w:before="80" w:after="0"/>
      </w:pPr>
    </w:p>
    <w:p>
      <w:pPr>
        <w:keepNext/>
        <w:spacing w:before="320" w:after="120"/>
      </w:pPr>
      <w:r>
        <w:rPr>
          <w:b/>
          <w:color w:val="1F4E79"/>
          <w:sz w:val="26"/>
        </w:rPr>
        <w:t>EDUCATION &amp; CREDENTIALS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rPr>
          <w:trHeight w:val="30"/>
        </w:trPr>
        <w:tc>
          <w:tcPr>
            <w:tcW w:type="dxa" w:w="9936"/>
            <w:shd w:val="clear" w:color="auto" w:fill="1F4E79"/>
          </w:tcPr>
          <w:p/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7488"/>
          </w:tcPr>
          <w:p>
            <w:pPr>
              <w:spacing w:after="40"/>
            </w:pPr>
            <w:r>
              <w:rPr>
                <w:b/>
                <w:sz w:val="21"/>
              </w:rPr>
              <w:t>BSc in Computer Science &amp; Enterprise Networks (First Class Honours)</w:t>
            </w:r>
            <w:r>
              <w:rPr>
                <w:color w:val="7F7F7F"/>
                <w:sz w:val="20"/>
              </w:rPr>
              <w:br/>
              <w:t>University of Bristol — Bristol, UK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i/>
                <w:color w:val="7F7F7F"/>
                <w:sz w:val="20"/>
              </w:rPr>
              <w:t>Graduated 2018</w:t>
            </w:r>
          </w:p>
        </w:tc>
      </w:tr>
    </w:tbl>
    <w:p>
      <w:pPr>
        <w:spacing w:before="160"/>
      </w:pPr>
    </w:p>
    <w:p>
      <w:pPr>
        <w:pStyle w:val="ListBullet"/>
        <w:spacing w:after="40"/>
      </w:pPr>
      <w:r>
        <w:rPr>
          <w:sz w:val="20"/>
        </w:rPr>
        <w:t>AWS Certified Solutions Architect – Professional (2025)</w:t>
      </w:r>
    </w:p>
    <w:p>
      <w:pPr>
        <w:pStyle w:val="ListBullet"/>
        <w:spacing w:after="40"/>
      </w:pPr>
      <w:r>
        <w:rPr>
          <w:sz w:val="20"/>
        </w:rPr>
        <w:t>Certified Information Systems Security Professional (CISSP) — Associate (2024)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