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E74B5"/>
          <w:sz w:val="30"/>
          <w:szCs w:val="30"/>
        </w:rPr>
        <w:t xml:space="preserve">REMAMA / ONCOFIT</w:t>
      </w:r>
    </w:p>
    <w:p>
      <w:pPr>
        <w:spacing w:after="200" w:before="200"/>
        <w:jc w:val="center"/>
      </w:pPr>
      <w:r>
        <w:rPr>
          <w:b/>
          <w:bCs/>
          <w:color w:val="1F3864"/>
          <w:sz w:val="44"/>
          <w:szCs w:val="44"/>
        </w:rPr>
        <w:t xml:space="preserve">Documentação Técnica de Entregável — MVP</w:t>
      </w:r>
    </w:p>
    <w:p>
      <w:pPr>
        <w:spacing w:after="800"/>
        <w:jc w:val="center"/>
      </w:pPr>
      <w:r>
        <w:rPr>
          <w:color w:val="595959"/>
          <w:sz w:val="24"/>
          <w:szCs w:val="24"/>
        </w:rPr>
        <w:t xml:space="preserve">Banco de Dados — Fase 1 (Schema, Dados de Referência, Integridade e Views)</w:t>
      </w:r>
    </w:p>
    <w:p>
      <w:pPr>
        <w:spacing w:after="80"/>
        <w:jc w:val="center"/>
      </w:pPr>
      <w:r>
        <w:rPr>
          <w:i/>
          <w:iCs/>
          <w:sz w:val="22"/>
          <w:szCs w:val="22"/>
        </w:rPr>
        <w:t xml:space="preserve">Versão do documento: v2</w:t>
      </w:r>
    </w:p>
    <w:p>
      <w:pPr>
        <w:spacing w:after="80"/>
        <w:jc w:val="center"/>
      </w:pPr>
      <w:r>
        <w:rPr>
          <w:i/>
          <w:iCs/>
          <w:sz w:val="22"/>
          <w:szCs w:val="22"/>
        </w:rPr>
        <w:t xml:space="preserve">Data de referência: 25/08/2026</w:t>
      </w:r>
    </w:p>
    <w:p>
      <w:pPr>
        <w:spacing w:after="80"/>
        <w:jc w:val="center"/>
      </w:pPr>
      <w:r>
        <w:rPr>
          <w:i/>
          <w:iCs/>
          <w:sz w:val="22"/>
          <w:szCs w:val="22"/>
        </w:rPr>
        <w:t xml:space="preserve">Autoria: Equipe de Engenharia de Dados</w:t>
      </w:r>
    </w:p>
    <w:p>
      <w:r>
        <w:br w:type="page"/>
      </w:r>
    </w:p>
    <w:p>
      <w:pPr>
        <w:pStyle w:val="Heading1"/>
        <w:spacing w:after="200" w:before="400"/>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Visão Geral do Entregável</w:t>
      </w:r>
    </w:p>
    <w:p>
      <w:pPr>
        <w:spacing w:after="160" w:line="276"/>
      </w:pPr>
      <w:r>
        <w:t xml:space="preserve">Este documento consolida, em formato de entregável de MVP, a documentação técnica do banco de dados do projeto REMAMA/OncoFit — programa de reabilitação por dragon boat e treinamento funcional voltado a sobreviventes de câncer de mama. O conteúdo aqui reunido reorganiza e complementa a documentação original em SQL comentado (DDL), o diagrama entidade-relacionamento e as views de consumo criadas para os diferentes perfis de usuário do sistema.</w:t>
      </w:r>
    </w:p>
    <w:p>
      <w:pPr>
        <w:spacing w:after="160" w:line="276"/>
      </w:pPr>
      <w:r>
        <w:t xml:space="preserve">O objetivo deste entregável é servir como referência única para a administração do Remama, a equipe técnica e demais stakeholders entenderem o que foi construído nesta fase, por que cada decisão de modelagem foi tomada, e o que ainda está pendente para as próximas fases do projeto.</w:t>
      </w:r>
    </w:p>
    <w:p>
      <w:pPr>
        <w:pStyle w:val="Heading2"/>
        <w:spacing w:after="150" w:before="300"/>
      </w:pPr>
      <w:r>
        <w:t xml:space="preserve">1.1 O que este MVP entrega</w:t>
      </w:r>
    </w:p>
    <w:p>
      <w:pPr>
        <w:pStyle w:val="ListParagraph"/>
        <w:numPr>
          <w:ilvl w:val="0"/>
          <w:numId w:val="1"/>
        </w:numPr>
        <w:spacing w:after="80"/>
      </w:pPr>
      <w:r>
        <w:t xml:space="preserve">Schema completo do banco de dados (todas as tabelas, relacionamentos e regras de integridade).</w:t>
      </w:r>
    </w:p>
    <w:p>
      <w:pPr>
        <w:pStyle w:val="ListParagraph"/>
        <w:numPr>
          <w:ilvl w:val="0"/>
          <w:numId w:val="1"/>
        </w:numPr>
        <w:spacing w:after="80"/>
      </w:pPr>
      <w:r>
        <w:t xml:space="preserve">Dados de referência (seed) para as tabelas de domínio/lookup.</w:t>
      </w:r>
    </w:p>
    <w:p>
      <w:pPr>
        <w:pStyle w:val="ListParagraph"/>
        <w:numPr>
          <w:ilvl w:val="0"/>
          <w:numId w:val="1"/>
        </w:numPr>
        <w:spacing w:after="80"/>
      </w:pPr>
      <w:r>
        <w:t xml:space="preserve">Uma trigger de integridade que mantém sincronizados o status global da participante e o status de suas inscrições por programa.</w:t>
      </w:r>
    </w:p>
    <w:p>
      <w:pPr>
        <w:pStyle w:val="ListParagraph"/>
        <w:numPr>
          <w:ilvl w:val="0"/>
          <w:numId w:val="1"/>
        </w:numPr>
        <w:spacing w:after="80"/>
      </w:pPr>
      <w:r>
        <w:t xml:space="preserve">Cinco views de consumo, desenhadas para três públicos distintos: pesquisadores, professores/equipe técnica e gestão de programas.</w:t>
      </w:r>
    </w:p>
    <w:p>
      <w:pPr>
        <w:pStyle w:val="ListParagraph"/>
        <w:numPr>
          <w:ilvl w:val="0"/>
          <w:numId w:val="1"/>
        </w:numPr>
        <w:spacing w:after="80"/>
      </w:pPr>
      <w:r>
        <w:t xml:space="preserve">Diagrama entidade-relacionamento (ER) do banco completo.</w:t>
      </w:r>
    </w:p>
    <w:p>
      <w:pPr>
        <w:pStyle w:val="ListParagraph"/>
        <w:numPr>
          <w:ilvl w:val="0"/>
          <w:numId w:val="1"/>
        </w:numPr>
        <w:spacing w:after="80"/>
      </w:pPr>
      <w:r>
        <w:t xml:space="preserve">Levantamento e correção de inconsistências entre o schema originalmente desenhado e os dados reais coletados em campo (ver Seção 6).</w:t>
      </w:r>
    </w:p>
    <w:p>
      <w:pPr>
        <w:pStyle w:val="Heading2"/>
        <w:spacing w:after="150" w:before="300"/>
      </w:pPr>
      <w:r>
        <w:t xml:space="preserve">1.2 O que este MVP propositalmente NÃO entrega (Fase 2)</w:t>
      </w:r>
    </w:p>
    <w:p>
      <w:pPr>
        <w:pStyle w:val="ListParagraph"/>
        <w:numPr>
          <w:ilvl w:val="0"/>
          <w:numId w:val="1"/>
        </w:numPr>
        <w:spacing w:after="80"/>
      </w:pPr>
      <w:r>
        <w:t xml:space="preserve">Row Level Security (RLS) aplicado — ENABLE ROW LEVEL SECURITY e CREATE POLICY ficam reservados para a Fase 2, após confirmação dos papéis de acesso junto à administração do Remama.</w:t>
      </w:r>
    </w:p>
    <w:p>
      <w:pPr>
        <w:pStyle w:val="ListParagraph"/>
        <w:numPr>
          <w:ilvl w:val="0"/>
          <w:numId w:val="1"/>
        </w:numPr>
        <w:spacing w:after="80"/>
      </w:pPr>
      <w:r>
        <w:t xml:space="preserve">Regra de banco (CHECK/trigger) que force exatamente um vínculo (participante OU funcionário) por usuário em usuario_acesso.</w:t>
      </w:r>
    </w:p>
    <w:p>
      <w:pPr>
        <w:pStyle w:val="ListParagraph"/>
        <w:numPr>
          <w:ilvl w:val="0"/>
          <w:numId w:val="1"/>
        </w:numPr>
        <w:spacing w:after="80"/>
      </w:pPr>
      <w:r>
        <w:t xml:space="preserve">Distinção definitiva de hierarquia organizacional entre voluntário, professor, pesquisador e administrador — atualmente uma proposta de 4 níveis, ainda não validada com a organização (ver Seção 8).</w:t>
      </w:r>
    </w:p>
    <w:p>
      <w:pPr>
        <w:pBdr>
          <w:bottom w:val="single" w:color="BFBFBF" w:sz="6" w:space="1"/>
        </w:pBdr>
        <w:spacing w:after="200"/>
      </w:pPr>
    </w:p>
    <w:p>
      <w:pPr>
        <w:pStyle w:val="Heading1"/>
        <w:spacing w:after="200" w:before="400"/>
      </w:pPr>
      <w:r>
        <w:t xml:space="preserve">2. Escopo e Contexto do Projeto</w:t>
      </w:r>
    </w:p>
    <w:p>
      <w:pPr>
        <w:spacing w:after="160" w:line="276"/>
      </w:pPr>
      <w:r>
        <w:t xml:space="preserve">O REMAMA oferece dois programas às participantes — Remama (remada em barco-dragão) e OncoFit (treinamento funcional) — podendo uma mesma participante estar inscrita em um, outro, ou em ambos simultaneamente. O banco de dados foi desenhado para sustentar três frentes de uso:</w:t>
      </w:r>
    </w:p>
    <w:p>
      <w:pPr>
        <w:pStyle w:val="ListParagraph"/>
        <w:numPr>
          <w:ilvl w:val="0"/>
          <w:numId w:val="1"/>
        </w:numPr>
        <w:spacing w:after="80"/>
      </w:pPr>
      <w:r>
        <w:t xml:space="preserve">Gestão operacional do dia a dia (frequência, turmas, avaliações físicas, cargos e especializações);</w:t>
      </w:r>
    </w:p>
    <w:p>
      <w:pPr>
        <w:pStyle w:val="ListParagraph"/>
        <w:numPr>
          <w:ilvl w:val="0"/>
          <w:numId w:val="1"/>
        </w:numPr>
        <w:spacing w:after="80"/>
      </w:pPr>
      <w:r>
        <w:t xml:space="preserve">Acompanhamento clínico e antropométrico das participantes (ficha médica, comorbidades, medições);</w:t>
      </w:r>
    </w:p>
    <w:p>
      <w:pPr>
        <w:pStyle w:val="ListParagraph"/>
        <w:numPr>
          <w:ilvl w:val="0"/>
          <w:numId w:val="1"/>
        </w:numPr>
        <w:spacing w:after="80"/>
      </w:pPr>
      <w:r>
        <w:t xml:space="preserve">Pesquisa científica sobre os resultados do programa, com dados anonimizados.</w:t>
      </w:r>
    </w:p>
    <w:p>
      <w:pPr>
        <w:spacing w:after="160" w:line="276"/>
      </w:pPr>
      <w:r>
        <w:t xml:space="preserve">Por se tratar de um programa voltado a um público com dado de saúde sensível (categoria especial de dado pessoal, conforme LGPD), a separação entre quem acessa dado identificável e quem acessa apenas dado anonimizado foi uma preocupação central de modelagem desde a Fase 1, mesmo com o RLS propriamente dito ainda não implementado.</w:t>
      </w:r>
    </w:p>
    <w:p>
      <w:pPr>
        <w:pBdr>
          <w:bottom w:val="single" w:color="BFBFBF" w:sz="6" w:space="1"/>
        </w:pBdr>
        <w:spacing w:after="200"/>
      </w:pPr>
    </w:p>
    <w:p>
      <w:pPr>
        <w:pStyle w:val="Heading1"/>
        <w:spacing w:after="200" w:before="400"/>
      </w:pPr>
      <w:r>
        <w:t xml:space="preserve">3. Convenções de Modelagem Adotadas</w:t>
      </w:r>
    </w:p>
    <w:p>
      <w:pPr>
        <w:pStyle w:val="Heading2"/>
        <w:spacing w:after="150" w:before="300"/>
      </w:pPr>
      <w:r>
        <w:t xml:space="preserve">3.1 Chave primária: manual vs. IDENTITY</w:t>
      </w:r>
    </w:p>
    <w:p>
      <w:pPr>
        <w:spacing w:after="100"/>
      </w:pPr>
      <w:r>
        <w:rPr>
          <w:b/>
          <w:bCs/>
        </w:rPr>
        <w:t xml:space="preserve">PK manual (INT PRIMARY KEY): </w:t>
      </w:r>
      <w:r>
        <w:t xml:space="preserve">usada em tabelas de domínio cujo valor numérico tem significado de negócio e é referenciado como constante em outras partes do sistema — por exemplo, id_status = 1 sempre representa "Ativa", e essa constante é usada diretamente na trigger da Seção 9. Aplicada em status_participante, programa e cargo_participante.</w:t>
      </w:r>
    </w:p>
    <w:p>
      <w:pPr>
        <w:spacing w:after="100"/>
      </w:pPr>
      <w:r>
        <w:rPr>
          <w:b/>
          <w:bCs/>
        </w:rPr>
        <w:t xml:space="preserve">PK por IDENTITY: </w:t>
      </w:r>
      <w:r>
        <w:t xml:space="preserve">usada quando a ordem de inserção não tem significado de negócio. Aplicada às demais tabelas de domínio e a todas as tabelas transacionais (que crescem continuamente).</w:t>
      </w:r>
    </w:p>
    <w:p>
      <w:pPr>
        <w:pStyle w:val="Heading2"/>
        <w:spacing w:after="150" w:before="300"/>
      </w:pPr>
      <w:r>
        <w:t xml:space="preserve">3.2 Regras de integridade (CHECK)</w:t>
      </w:r>
    </w:p>
    <w:p>
      <w:pPr>
        <w:spacing w:after="160" w:line="276"/>
      </w:pPr>
      <w:r>
        <w:t xml:space="preserve">Todo CHECK do schema reflete uma regra de negócio real ou uma escala clínica validada — por exemplo, o campo de Percepção Subjetiva de Esforço (PSE) segue a Escala de Borg CR-10 (0 a 10). A lista completa de CHECKs está detalhada junto de cada tabela nas Seções 5 a 7.</w:t>
      </w:r>
    </w:p>
    <w:p>
      <w:pPr>
        <w:pStyle w:val="Heading2"/>
        <w:spacing w:after="150" w:before="300"/>
      </w:pPr>
      <w:r>
        <w:t xml:space="preserve">3.3 Tabelas de domínio (lookup)</w:t>
      </w:r>
    </w:p>
    <w:p>
      <w:pPr>
        <w:spacing w:after="160" w:line="276"/>
      </w:pPr>
      <w:r>
        <w:t xml:space="preserve">Toda tabela de domínio existe para evitar texto livre em campos que, na prática, só assumem um conjunto fixo e conhecido de valores. Sem essa padronização, a mesma informação poderia ser digitada de formas diferentes (ex.: "Oncofit", "ONCOFIT", "Onco Fit"), quebrando qualquer agrupamento ou relatório construído sobre esse dado.</w:t>
      </w:r>
    </w:p>
    <w:p>
      <w:pPr>
        <w:pBdr>
          <w:bottom w:val="single" w:color="BFBFBF" w:sz="6" w:space="1"/>
        </w:pBdr>
        <w:spacing w:after="200"/>
      </w:pPr>
    </w:p>
    <w:p>
      <w:pPr>
        <w:pStyle w:val="Heading1"/>
        <w:spacing w:after="200" w:before="400"/>
      </w:pPr>
      <w:r>
        <w:t xml:space="preserve">4. Diagrama Entidade-Relacionamento (ER)</w:t>
      </w:r>
    </w:p>
    <w:p>
      <w:pPr>
        <w:spacing w:after="160" w:line="276"/>
      </w:pPr>
      <w:r>
        <w:t xml:space="preserve">O diagrama ER completo do banco está disponível em guia separada do material original e organiza as tabelas em quatro grandes blocos visuais:</w:t>
      </w:r>
    </w:p>
    <w:p>
      <w:pPr>
        <w:pStyle w:val="ListParagraph"/>
        <w:numPr>
          <w:ilvl w:val="0"/>
          <w:numId w:val="1"/>
        </w:numPr>
        <w:spacing w:after="80"/>
      </w:pPr>
      <w:r>
        <w:t xml:space="preserve">Independent Reference Entities — tabelas de domínio isoladas (status_participante, estado_civil, tipo_cancer, tipo_comorbidade, tipo_treinamento).</w:t>
      </w:r>
    </w:p>
    <w:p>
      <w:pPr>
        <w:pStyle w:val="ListParagraph"/>
        <w:numPr>
          <w:ilvl w:val="0"/>
          <w:numId w:val="1"/>
        </w:numPr>
        <w:spacing w:after="80"/>
      </w:pPr>
      <w:r>
        <w:t xml:space="preserve">Main Participant Data — participante como entidade central e suas tabelas 1:1/1:N diretas (endereço, contato, dados antropométricos, avaliação, ficha médica, comorbidade, treinamento, evento).</w:t>
      </w:r>
    </w:p>
    <w:p>
      <w:pPr>
        <w:pStyle w:val="ListParagraph"/>
        <w:numPr>
          <w:ilvl w:val="0"/>
          <w:numId w:val="1"/>
        </w:numPr>
        <w:spacing w:after="80"/>
      </w:pPr>
      <w:r>
        <w:t xml:space="preserve">Program &amp; Frequency — inscrição em programas, cargos, registro de frequência e status de presença.</w:t>
      </w:r>
    </w:p>
    <w:p>
      <w:pPr>
        <w:pStyle w:val="ListParagraph"/>
        <w:numPr>
          <w:ilvl w:val="0"/>
          <w:numId w:val="1"/>
        </w:numPr>
        <w:spacing w:after="80"/>
      </w:pPr>
      <w:r>
        <w:t xml:space="preserve">System &amp; Access — funcionários, funções, usuário de acesso, nível de acesso e auditoria do sistema.</w:t>
      </w:r>
    </w:p>
    <w:p>
      <w:pPr>
        <w:spacing w:after="160" w:line="276"/>
      </w:pPr>
      <w:r>
        <w:rPr>
          <w:i/>
          <w:iCs/>
        </w:rPr>
        <w:t xml:space="preserve">Por limitação de espaço visual, o diagrama não representa todos os campos de cada tabela — apenas chaves primárias e estrangeiras. A leitura do DDL comentado (Seções 5 a 9 deste documento) é indispensável para o entendimento completo de cada coluna.</w:t>
      </w:r>
    </w:p>
    <w:p>
      <w:pPr>
        <w:pBdr>
          <w:bottom w:val="single" w:color="BFBFBF" w:sz="6" w:space="1"/>
        </w:pBdr>
        <w:spacing w:after="200"/>
      </w:pPr>
    </w:p>
    <w:p>
      <w:pPr>
        <w:pStyle w:val="Heading1"/>
        <w:spacing w:after="200" w:before="400"/>
      </w:pPr>
      <w:r>
        <w:t xml:space="preserve">5. Tabelas de Domínio (Lookup)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600"/>
        <w:gridCol w:w="270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Tabela</w:t>
            </w:r>
          </w:p>
        </w:tc>
        <w:tc>
          <w:tcPr>
            <w:tcW w:type="dxa" w:w="1500"/>
            <w:shd w:fill="1F3864" w:color="auto" w:val="clear"/>
            <w:tcMar>
              <w:top w:type="dxa" w:w="80"/>
              <w:left w:type="dxa" w:w="100"/>
              <w:bottom w:type="dxa" w:w="80"/>
              <w:right w:type="dxa" w:w="100"/>
            </w:tcMar>
          </w:tcPr>
          <w:p>
            <w:r>
              <w:rPr>
                <w:b/>
                <w:bCs/>
                <w:color w:val="FFFFFF"/>
                <w:sz w:val="20"/>
                <w:szCs w:val="20"/>
              </w:rPr>
              <w:t xml:space="preserve">Chave</w:t>
            </w:r>
          </w:p>
        </w:tc>
        <w:tc>
          <w:tcPr>
            <w:tcW w:type="dxa" w:w="3600"/>
            <w:shd w:fill="1F3864" w:color="auto" w:val="clear"/>
            <w:tcMar>
              <w:top w:type="dxa" w:w="80"/>
              <w:left w:type="dxa" w:w="100"/>
              <w:bottom w:type="dxa" w:w="80"/>
              <w:right w:type="dxa" w:w="100"/>
            </w:tcMar>
          </w:tcPr>
          <w:p>
            <w:r>
              <w:rPr>
                <w:b/>
                <w:bCs/>
                <w:color w:val="FFFFFF"/>
                <w:sz w:val="20"/>
                <w:szCs w:val="20"/>
              </w:rPr>
              <w:t xml:space="preserve">Finalidade</w:t>
            </w:r>
          </w:p>
        </w:tc>
        <w:tc>
          <w:tcPr>
            <w:tcW w:type="dxa" w:w="2700"/>
            <w:shd w:fill="1F3864" w:color="auto" w:val="clear"/>
            <w:tcMar>
              <w:top w:type="dxa" w:w="80"/>
              <w:left w:type="dxa" w:w="100"/>
              <w:bottom w:type="dxa" w:w="80"/>
              <w:right w:type="dxa" w:w="100"/>
            </w:tcMar>
          </w:tcPr>
          <w:p>
            <w:r>
              <w:rPr>
                <w:b/>
                <w:bCs/>
                <w:color w:val="FFFFFF"/>
                <w:sz w:val="20"/>
                <w:szCs w:val="20"/>
              </w:rPr>
              <w:t xml:space="preserve">Seed inicial</w:t>
            </w:r>
          </w:p>
        </w:tc>
      </w:tr>
      <w:tr>
        <w:tc>
          <w:tcPr>
            <w:tcW w:type="dxa" w:w="2600"/>
            <w:tcMar>
              <w:top w:type="dxa" w:w="80"/>
              <w:left w:type="dxa" w:w="100"/>
              <w:bottom w:type="dxa" w:w="80"/>
              <w:right w:type="dxa" w:w="100"/>
            </w:tcMar>
          </w:tcPr>
          <w:p>
            <w:r>
              <w:rPr>
                <w:b w:val="false"/>
                <w:bCs w:val="false"/>
                <w:sz w:val="20"/>
                <w:szCs w:val="20"/>
              </w:rPr>
              <w:t xml:space="preserve">status_participante</w:t>
            </w:r>
          </w:p>
        </w:tc>
        <w:tc>
          <w:tcPr>
            <w:tcW w:type="dxa" w:w="1500"/>
            <w:tcMar>
              <w:top w:type="dxa" w:w="80"/>
              <w:left w:type="dxa" w:w="100"/>
              <w:bottom w:type="dxa" w:w="80"/>
              <w:right w:type="dxa" w:w="100"/>
            </w:tcMar>
          </w:tcPr>
          <w:p>
            <w:r>
              <w:rPr>
                <w:b w:val="false"/>
                <w:bCs w:val="false"/>
                <w:sz w:val="20"/>
                <w:szCs w:val="20"/>
              </w:rPr>
              <w:t xml:space="preserve">Manual (fixa)</w:t>
            </w:r>
          </w:p>
        </w:tc>
        <w:tc>
          <w:tcPr>
            <w:tcW w:type="dxa" w:w="3600"/>
            <w:tcMar>
              <w:top w:type="dxa" w:w="80"/>
              <w:left w:type="dxa" w:w="100"/>
              <w:bottom w:type="dxa" w:w="80"/>
              <w:right w:type="dxa" w:w="100"/>
            </w:tcMar>
          </w:tcPr>
          <w:p>
            <w:r>
              <w:rPr>
                <w:b w:val="false"/>
                <w:bCs w:val="false"/>
                <w:sz w:val="20"/>
                <w:szCs w:val="20"/>
              </w:rPr>
              <w:t xml:space="preserve">Situação global da participante no Remama (não confundir com status por programa)</w:t>
            </w:r>
          </w:p>
        </w:tc>
        <w:tc>
          <w:tcPr>
            <w:tcW w:type="dxa" w:w="2700"/>
            <w:tcMar>
              <w:top w:type="dxa" w:w="80"/>
              <w:left w:type="dxa" w:w="100"/>
              <w:bottom w:type="dxa" w:w="80"/>
              <w:right w:type="dxa" w:w="100"/>
            </w:tcMar>
          </w:tcPr>
          <w:p>
            <w:r>
              <w:rPr>
                <w:b w:val="false"/>
                <w:bCs w:val="false"/>
                <w:sz w:val="20"/>
                <w:szCs w:val="20"/>
              </w:rPr>
              <w:t xml:space="preserve">Ativa, Inativa, Afastada, Desligada</w:t>
            </w:r>
          </w:p>
        </w:tc>
      </w:tr>
      <w:tr>
        <w:tc>
          <w:tcPr>
            <w:tcW w:type="dxa" w:w="2600"/>
            <w:shd w:fill="F2F2F2" w:color="auto" w:val="clear"/>
            <w:tcMar>
              <w:top w:type="dxa" w:w="80"/>
              <w:left w:type="dxa" w:w="100"/>
              <w:bottom w:type="dxa" w:w="80"/>
              <w:right w:type="dxa" w:w="100"/>
            </w:tcMar>
          </w:tcPr>
          <w:p>
            <w:r>
              <w:rPr>
                <w:b w:val="false"/>
                <w:bCs w:val="false"/>
                <w:sz w:val="20"/>
                <w:szCs w:val="20"/>
              </w:rPr>
              <w:t xml:space="preserve">estado_civil</w:t>
            </w:r>
          </w:p>
        </w:tc>
        <w:tc>
          <w:tcPr>
            <w:tcW w:type="dxa" w:w="1500"/>
            <w:shd w:fill="F2F2F2" w:color="auto" w:val="clear"/>
            <w:tcMar>
              <w:top w:type="dxa" w:w="80"/>
              <w:left w:type="dxa" w:w="100"/>
              <w:bottom w:type="dxa" w:w="80"/>
              <w:right w:type="dxa" w:w="100"/>
            </w:tcMar>
          </w:tcPr>
          <w:p>
            <w:r>
              <w:rPr>
                <w:b w:val="false"/>
                <w:bCs w:val="false"/>
                <w:sz w:val="20"/>
                <w:szCs w:val="20"/>
              </w:rPr>
              <w:t xml:space="preserve">IDENTITY</w:t>
            </w:r>
          </w:p>
        </w:tc>
        <w:tc>
          <w:tcPr>
            <w:tcW w:type="dxa" w:w="3600"/>
            <w:shd w:fill="F2F2F2" w:color="auto" w:val="clear"/>
            <w:tcMar>
              <w:top w:type="dxa" w:w="80"/>
              <w:left w:type="dxa" w:w="100"/>
              <w:bottom w:type="dxa" w:w="80"/>
              <w:right w:type="dxa" w:w="100"/>
            </w:tcMar>
          </w:tcPr>
          <w:p>
            <w:r>
              <w:rPr>
                <w:b w:val="false"/>
                <w:bCs w:val="false"/>
                <w:sz w:val="20"/>
                <w:szCs w:val="20"/>
              </w:rPr>
              <w:t xml:space="preserve">Estado civil da participante</w:t>
            </w:r>
          </w:p>
        </w:tc>
        <w:tc>
          <w:tcPr>
            <w:tcW w:type="dxa" w:w="2700"/>
            <w:shd w:fill="F2F2F2" w:color="auto" w:val="clear"/>
            <w:tcMar>
              <w:top w:type="dxa" w:w="80"/>
              <w:left w:type="dxa" w:w="100"/>
              <w:bottom w:type="dxa" w:w="80"/>
              <w:right w:type="dxa" w:w="100"/>
            </w:tcMar>
          </w:tcPr>
          <w:p>
            <w:r>
              <w:rPr>
                <w:b w:val="false"/>
                <w:bCs w:val="false"/>
                <w:sz w:val="20"/>
                <w:szCs w:val="20"/>
              </w:rPr>
              <w:t xml:space="preserve">Solteira, Casada, Divorciada, Viúva, União estável</w:t>
            </w:r>
          </w:p>
        </w:tc>
      </w:tr>
      <w:tr>
        <w:tc>
          <w:tcPr>
            <w:tcW w:type="dxa" w:w="2600"/>
            <w:tcMar>
              <w:top w:type="dxa" w:w="80"/>
              <w:left w:type="dxa" w:w="100"/>
              <w:bottom w:type="dxa" w:w="80"/>
              <w:right w:type="dxa" w:w="100"/>
            </w:tcMar>
          </w:tcPr>
          <w:p>
            <w:r>
              <w:rPr>
                <w:b w:val="false"/>
                <w:bCs w:val="false"/>
                <w:sz w:val="20"/>
                <w:szCs w:val="20"/>
              </w:rPr>
              <w:t xml:space="preserve">programa</w:t>
            </w:r>
          </w:p>
        </w:tc>
        <w:tc>
          <w:tcPr>
            <w:tcW w:type="dxa" w:w="1500"/>
            <w:tcMar>
              <w:top w:type="dxa" w:w="80"/>
              <w:left w:type="dxa" w:w="100"/>
              <w:bottom w:type="dxa" w:w="80"/>
              <w:right w:type="dxa" w:w="100"/>
            </w:tcMar>
          </w:tcPr>
          <w:p>
            <w:r>
              <w:rPr>
                <w:b w:val="false"/>
                <w:bCs w:val="false"/>
                <w:sz w:val="20"/>
                <w:szCs w:val="20"/>
              </w:rPr>
              <w:t xml:space="preserve">Manual (fixa)</w:t>
            </w:r>
          </w:p>
        </w:tc>
        <w:tc>
          <w:tcPr>
            <w:tcW w:type="dxa" w:w="3600"/>
            <w:tcMar>
              <w:top w:type="dxa" w:w="80"/>
              <w:left w:type="dxa" w:w="100"/>
              <w:bottom w:type="dxa" w:w="80"/>
              <w:right w:type="dxa" w:w="100"/>
            </w:tcMar>
          </w:tcPr>
          <w:p>
            <w:r>
              <w:rPr>
                <w:b w:val="false"/>
                <w:bCs w:val="false"/>
                <w:sz w:val="20"/>
                <w:szCs w:val="20"/>
              </w:rPr>
              <w:t xml:space="preserve">Programas oferecidos pelo Remama</w:t>
            </w:r>
          </w:p>
        </w:tc>
        <w:tc>
          <w:tcPr>
            <w:tcW w:type="dxa" w:w="2700"/>
            <w:tcMar>
              <w:top w:type="dxa" w:w="80"/>
              <w:left w:type="dxa" w:w="100"/>
              <w:bottom w:type="dxa" w:w="80"/>
              <w:right w:type="dxa" w:w="100"/>
            </w:tcMar>
          </w:tcPr>
          <w:p>
            <w:r>
              <w:rPr>
                <w:b w:val="false"/>
                <w:bCs w:val="false"/>
                <w:sz w:val="20"/>
                <w:szCs w:val="20"/>
              </w:rPr>
              <w:t xml:space="preserve">Remama, OncoFit (ver correção na Seção 6.4)</w:t>
            </w:r>
          </w:p>
        </w:tc>
      </w:tr>
      <w:tr>
        <w:tc>
          <w:tcPr>
            <w:tcW w:type="dxa" w:w="2600"/>
            <w:shd w:fill="F2F2F2" w:color="auto" w:val="clear"/>
            <w:tcMar>
              <w:top w:type="dxa" w:w="80"/>
              <w:left w:type="dxa" w:w="100"/>
              <w:bottom w:type="dxa" w:w="80"/>
              <w:right w:type="dxa" w:w="100"/>
            </w:tcMar>
          </w:tcPr>
          <w:p>
            <w:r>
              <w:rPr>
                <w:b w:val="false"/>
                <w:bCs w:val="false"/>
                <w:sz w:val="20"/>
                <w:szCs w:val="20"/>
              </w:rPr>
              <w:t xml:space="preserve">tipo_comorbidade</w:t>
            </w:r>
          </w:p>
        </w:tc>
        <w:tc>
          <w:tcPr>
            <w:tcW w:type="dxa" w:w="1500"/>
            <w:shd w:fill="F2F2F2" w:color="auto" w:val="clear"/>
            <w:tcMar>
              <w:top w:type="dxa" w:w="80"/>
              <w:left w:type="dxa" w:w="100"/>
              <w:bottom w:type="dxa" w:w="80"/>
              <w:right w:type="dxa" w:w="100"/>
            </w:tcMar>
          </w:tcPr>
          <w:p>
            <w:r>
              <w:rPr>
                <w:b w:val="false"/>
                <w:bCs w:val="false"/>
                <w:sz w:val="20"/>
                <w:szCs w:val="20"/>
              </w:rPr>
              <w:t xml:space="preserve">IDENTITY</w:t>
            </w:r>
          </w:p>
        </w:tc>
        <w:tc>
          <w:tcPr>
            <w:tcW w:type="dxa" w:w="3600"/>
            <w:shd w:fill="F2F2F2" w:color="auto" w:val="clear"/>
            <w:tcMar>
              <w:top w:type="dxa" w:w="80"/>
              <w:left w:type="dxa" w:w="100"/>
              <w:bottom w:type="dxa" w:w="80"/>
              <w:right w:type="dxa" w:w="100"/>
            </w:tcMar>
          </w:tcPr>
          <w:p>
            <w:r>
              <w:rPr>
                <w:b w:val="false"/>
                <w:bCs w:val="false"/>
                <w:sz w:val="20"/>
                <w:szCs w:val="20"/>
              </w:rPr>
              <w:t xml:space="preserve">Condições de saúde acompanhadas (sujeito a validação clínica)</w:t>
            </w:r>
          </w:p>
        </w:tc>
        <w:tc>
          <w:tcPr>
            <w:tcW w:type="dxa" w:w="2700"/>
            <w:shd w:fill="F2F2F2" w:color="auto" w:val="clear"/>
            <w:tcMar>
              <w:top w:type="dxa" w:w="80"/>
              <w:left w:type="dxa" w:w="100"/>
              <w:bottom w:type="dxa" w:w="80"/>
              <w:right w:type="dxa" w:w="100"/>
            </w:tcMar>
          </w:tcPr>
          <w:p>
            <w:r>
              <w:rPr>
                <w:b w:val="false"/>
                <w:bCs w:val="false"/>
                <w:sz w:val="20"/>
                <w:szCs w:val="20"/>
              </w:rPr>
              <w:t xml:space="preserve">Hipertensão, Diabetes tipo 2, Linfedema, Osteoporose, Hipotireoidismo, Depressão/Ansiedade</w:t>
            </w:r>
          </w:p>
        </w:tc>
      </w:tr>
      <w:tr>
        <w:tc>
          <w:tcPr>
            <w:tcW w:type="dxa" w:w="2600"/>
            <w:tcMar>
              <w:top w:type="dxa" w:w="80"/>
              <w:left w:type="dxa" w:w="100"/>
              <w:bottom w:type="dxa" w:w="80"/>
              <w:right w:type="dxa" w:w="100"/>
            </w:tcMar>
          </w:tcPr>
          <w:p>
            <w:r>
              <w:rPr>
                <w:b w:val="false"/>
                <w:bCs w:val="false"/>
                <w:sz w:val="20"/>
                <w:szCs w:val="20"/>
              </w:rPr>
              <w:t xml:space="preserve">tipo_treinamento</w:t>
            </w:r>
          </w:p>
        </w:tc>
        <w:tc>
          <w:tcPr>
            <w:tcW w:type="dxa" w:w="1500"/>
            <w:tcMar>
              <w:top w:type="dxa" w:w="80"/>
              <w:left w:type="dxa" w:w="100"/>
              <w:bottom w:type="dxa" w:w="80"/>
              <w:right w:type="dxa" w:w="100"/>
            </w:tcMar>
          </w:tcPr>
          <w:p>
            <w:r>
              <w:rPr>
                <w:b w:val="false"/>
                <w:bCs w:val="false"/>
                <w:sz w:val="20"/>
                <w:szCs w:val="20"/>
              </w:rPr>
              <w:t xml:space="preserve">IDENTITY</w:t>
            </w:r>
          </w:p>
        </w:tc>
        <w:tc>
          <w:tcPr>
            <w:tcW w:type="dxa" w:w="3600"/>
            <w:tcMar>
              <w:top w:type="dxa" w:w="80"/>
              <w:left w:type="dxa" w:w="100"/>
              <w:bottom w:type="dxa" w:w="80"/>
              <w:right w:type="dxa" w:w="100"/>
            </w:tcMar>
          </w:tcPr>
          <w:p>
            <w:r>
              <w:rPr>
                <w:b w:val="false"/>
                <w:bCs w:val="false"/>
                <w:sz w:val="20"/>
                <w:szCs w:val="20"/>
              </w:rPr>
              <w:t xml:space="preserve">Modalidades de treino oferecidas</w:t>
            </w:r>
          </w:p>
        </w:tc>
        <w:tc>
          <w:tcPr>
            <w:tcW w:type="dxa" w:w="2700"/>
            <w:tcMar>
              <w:top w:type="dxa" w:w="80"/>
              <w:left w:type="dxa" w:w="100"/>
              <w:bottom w:type="dxa" w:w="80"/>
              <w:right w:type="dxa" w:w="100"/>
            </w:tcMar>
          </w:tcPr>
          <w:p>
            <w:r>
              <w:rPr>
                <w:b w:val="false"/>
                <w:bCs w:val="false"/>
                <w:sz w:val="20"/>
                <w:szCs w:val="20"/>
              </w:rPr>
              <w:t xml:space="preserve">Remada em barco-dragão, Treinamento funcional, Alongamento e mobilidade, Treino de força, Condicionamento aeróbico</w:t>
            </w:r>
          </w:p>
        </w:tc>
      </w:tr>
      <w:tr>
        <w:tc>
          <w:tcPr>
            <w:tcW w:type="dxa" w:w="2600"/>
            <w:shd w:fill="F2F2F2" w:color="auto" w:val="clear"/>
            <w:tcMar>
              <w:top w:type="dxa" w:w="80"/>
              <w:left w:type="dxa" w:w="100"/>
              <w:bottom w:type="dxa" w:w="80"/>
              <w:right w:type="dxa" w:w="100"/>
            </w:tcMar>
          </w:tcPr>
          <w:p>
            <w:r>
              <w:rPr>
                <w:b w:val="false"/>
                <w:bCs w:val="false"/>
                <w:sz w:val="20"/>
                <w:szCs w:val="20"/>
              </w:rPr>
              <w:t xml:space="preserve">status_presenca</w:t>
            </w:r>
          </w:p>
        </w:tc>
        <w:tc>
          <w:tcPr>
            <w:tcW w:type="dxa" w:w="1500"/>
            <w:shd w:fill="F2F2F2" w:color="auto" w:val="clear"/>
            <w:tcMar>
              <w:top w:type="dxa" w:w="80"/>
              <w:left w:type="dxa" w:w="100"/>
              <w:bottom w:type="dxa" w:w="80"/>
              <w:right w:type="dxa" w:w="100"/>
            </w:tcMar>
          </w:tcPr>
          <w:p>
            <w:r>
              <w:rPr>
                <w:b w:val="false"/>
                <w:bCs w:val="false"/>
                <w:sz w:val="20"/>
                <w:szCs w:val="20"/>
              </w:rPr>
              <w:t xml:space="preserve">IDENTITY</w:t>
            </w:r>
          </w:p>
        </w:tc>
        <w:tc>
          <w:tcPr>
            <w:tcW w:type="dxa" w:w="3600"/>
            <w:shd w:fill="F2F2F2" w:color="auto" w:val="clear"/>
            <w:tcMar>
              <w:top w:type="dxa" w:w="80"/>
              <w:left w:type="dxa" w:w="100"/>
              <w:bottom w:type="dxa" w:w="80"/>
              <w:right w:type="dxa" w:w="100"/>
            </w:tcMar>
          </w:tcPr>
          <w:p>
            <w:r>
              <w:rPr>
                <w:b w:val="false"/>
                <w:bCs w:val="false"/>
                <w:sz w:val="20"/>
                <w:szCs w:val="20"/>
              </w:rPr>
              <w:t xml:space="preserve">Resultado possível de uma chamada de frequência</w:t>
            </w:r>
          </w:p>
        </w:tc>
        <w:tc>
          <w:tcPr>
            <w:tcW w:type="dxa" w:w="2700"/>
            <w:shd w:fill="F2F2F2" w:color="auto" w:val="clear"/>
            <w:tcMar>
              <w:top w:type="dxa" w:w="80"/>
              <w:left w:type="dxa" w:w="100"/>
              <w:bottom w:type="dxa" w:w="80"/>
              <w:right w:type="dxa" w:w="100"/>
            </w:tcMar>
          </w:tcPr>
          <w:p>
            <w:r>
              <w:rPr>
                <w:b w:val="false"/>
                <w:bCs w:val="false"/>
                <w:sz w:val="20"/>
                <w:szCs w:val="20"/>
              </w:rPr>
              <w:t xml:space="preserve">P (Presente), F (Falta), J (Justificada)</w:t>
            </w:r>
          </w:p>
        </w:tc>
      </w:tr>
      <w:tr>
        <w:tc>
          <w:tcPr>
            <w:tcW w:type="dxa" w:w="2600"/>
            <w:tcMar>
              <w:top w:type="dxa" w:w="80"/>
              <w:left w:type="dxa" w:w="100"/>
              <w:bottom w:type="dxa" w:w="80"/>
              <w:right w:type="dxa" w:w="100"/>
            </w:tcMar>
          </w:tcPr>
          <w:p>
            <w:r>
              <w:rPr>
                <w:b w:val="false"/>
                <w:bCs w:val="false"/>
                <w:sz w:val="20"/>
                <w:szCs w:val="20"/>
              </w:rPr>
              <w:t xml:space="preserve">cargo_participante</w:t>
            </w:r>
          </w:p>
        </w:tc>
        <w:tc>
          <w:tcPr>
            <w:tcW w:type="dxa" w:w="1500"/>
            <w:tcMar>
              <w:top w:type="dxa" w:w="80"/>
              <w:left w:type="dxa" w:w="100"/>
              <w:bottom w:type="dxa" w:w="80"/>
              <w:right w:type="dxa" w:w="100"/>
            </w:tcMar>
          </w:tcPr>
          <w:p>
            <w:r>
              <w:rPr>
                <w:b w:val="false"/>
                <w:bCs w:val="false"/>
                <w:sz w:val="20"/>
                <w:szCs w:val="20"/>
              </w:rPr>
              <w:t xml:space="preserve">Manual (fixa)</w:t>
            </w:r>
          </w:p>
        </w:tc>
        <w:tc>
          <w:tcPr>
            <w:tcW w:type="dxa" w:w="3600"/>
            <w:tcMar>
              <w:top w:type="dxa" w:w="80"/>
              <w:left w:type="dxa" w:w="100"/>
              <w:bottom w:type="dxa" w:w="80"/>
              <w:right w:type="dxa" w:w="100"/>
            </w:tcMar>
          </w:tcPr>
          <w:p>
            <w:r>
              <w:rPr>
                <w:b w:val="false"/>
                <w:bCs w:val="false"/>
                <w:sz w:val="20"/>
                <w:szCs w:val="20"/>
              </w:rPr>
              <w:t xml:space="preserve">Papel da participante dentro de um programa específico</w:t>
            </w:r>
          </w:p>
        </w:tc>
        <w:tc>
          <w:tcPr>
            <w:tcW w:type="dxa" w:w="2700"/>
            <w:tcMar>
              <w:top w:type="dxa" w:w="80"/>
              <w:left w:type="dxa" w:w="100"/>
              <w:bottom w:type="dxa" w:w="80"/>
              <w:right w:type="dxa" w:w="100"/>
            </w:tcMar>
          </w:tcPr>
          <w:p>
            <w:r>
              <w:rPr>
                <w:b w:val="false"/>
                <w:bCs w:val="false"/>
                <w:sz w:val="20"/>
                <w:szCs w:val="20"/>
              </w:rPr>
              <w:t xml:space="preserve">Aluna, Gerente, Capitã, Dragonete</w:t>
            </w:r>
          </w:p>
        </w:tc>
      </w:tr>
      <w:tr>
        <w:tc>
          <w:tcPr>
            <w:tcW w:type="dxa" w:w="2600"/>
            <w:shd w:fill="F2F2F2" w:color="auto" w:val="clear"/>
            <w:tcMar>
              <w:top w:type="dxa" w:w="80"/>
              <w:left w:type="dxa" w:w="100"/>
              <w:bottom w:type="dxa" w:w="80"/>
              <w:right w:type="dxa" w:w="100"/>
            </w:tcMar>
          </w:tcPr>
          <w:p>
            <w:r>
              <w:rPr>
                <w:b w:val="false"/>
                <w:bCs w:val="false"/>
                <w:sz w:val="20"/>
                <w:szCs w:val="20"/>
              </w:rPr>
              <w:t xml:space="preserve">funcoes</w:t>
            </w:r>
          </w:p>
        </w:tc>
        <w:tc>
          <w:tcPr>
            <w:tcW w:type="dxa" w:w="1500"/>
            <w:shd w:fill="F2F2F2" w:color="auto" w:val="clear"/>
            <w:tcMar>
              <w:top w:type="dxa" w:w="80"/>
              <w:left w:type="dxa" w:w="100"/>
              <w:bottom w:type="dxa" w:w="80"/>
              <w:right w:type="dxa" w:w="100"/>
            </w:tcMar>
          </w:tcPr>
          <w:p>
            <w:r>
              <w:rPr>
                <w:b w:val="false"/>
                <w:bCs w:val="false"/>
                <w:sz w:val="20"/>
                <w:szCs w:val="20"/>
              </w:rPr>
              <w:t xml:space="preserve">IDENTITY</w:t>
            </w:r>
          </w:p>
        </w:tc>
        <w:tc>
          <w:tcPr>
            <w:tcW w:type="dxa" w:w="3600"/>
            <w:shd w:fill="F2F2F2" w:color="auto" w:val="clear"/>
            <w:tcMar>
              <w:top w:type="dxa" w:w="80"/>
              <w:left w:type="dxa" w:w="100"/>
              <w:bottom w:type="dxa" w:w="80"/>
              <w:right w:type="dxa" w:w="100"/>
            </w:tcMar>
          </w:tcPr>
          <w:p>
            <w:r>
              <w:rPr>
                <w:b w:val="false"/>
                <w:bCs w:val="false"/>
                <w:sz w:val="20"/>
                <w:szCs w:val="20"/>
              </w:rPr>
              <w:t xml:space="preserve">Cargos da equipe profissional/técnica (não das participantes)</w:t>
            </w:r>
          </w:p>
        </w:tc>
        <w:tc>
          <w:tcPr>
            <w:tcW w:type="dxa" w:w="2700"/>
            <w:shd w:fill="F2F2F2" w:color="auto" w:val="clear"/>
            <w:tcMar>
              <w:top w:type="dxa" w:w="80"/>
              <w:left w:type="dxa" w:w="100"/>
              <w:bottom w:type="dxa" w:w="80"/>
              <w:right w:type="dxa" w:w="100"/>
            </w:tcMar>
          </w:tcPr>
          <w:p>
            <w:r>
              <w:rPr>
                <w:b w:val="false"/>
                <w:bCs w:val="false"/>
                <w:sz w:val="20"/>
                <w:szCs w:val="20"/>
              </w:rPr>
              <w:t xml:space="preserve">Educador Físico, Fisioterapeuta, Administrador, Coordenador, Voluntário de Apoio</w:t>
            </w:r>
          </w:p>
        </w:tc>
      </w:tr>
      <w:tr>
        <w:tc>
          <w:tcPr>
            <w:tcW w:type="dxa" w:w="2600"/>
            <w:tcMar>
              <w:top w:type="dxa" w:w="80"/>
              <w:left w:type="dxa" w:w="100"/>
              <w:bottom w:type="dxa" w:w="80"/>
              <w:right w:type="dxa" w:w="100"/>
            </w:tcMar>
          </w:tcPr>
          <w:p>
            <w:r>
              <w:rPr>
                <w:b w:val="false"/>
                <w:bCs w:val="false"/>
                <w:sz w:val="20"/>
                <w:szCs w:val="20"/>
              </w:rPr>
              <w:t xml:space="preserve">tipo_cancer</w:t>
            </w:r>
          </w:p>
        </w:tc>
        <w:tc>
          <w:tcPr>
            <w:tcW w:type="dxa" w:w="1500"/>
            <w:tcMar>
              <w:top w:type="dxa" w:w="80"/>
              <w:left w:type="dxa" w:w="100"/>
              <w:bottom w:type="dxa" w:w="80"/>
              <w:right w:type="dxa" w:w="100"/>
            </w:tcMar>
          </w:tcPr>
          <w:p>
            <w:r>
              <w:rPr>
                <w:b w:val="false"/>
                <w:bCs w:val="false"/>
                <w:sz w:val="20"/>
                <w:szCs w:val="20"/>
              </w:rPr>
              <w:t xml:space="preserve">IDENTITY</w:t>
            </w:r>
          </w:p>
        </w:tc>
        <w:tc>
          <w:tcPr>
            <w:tcW w:type="dxa" w:w="3600"/>
            <w:tcMar>
              <w:top w:type="dxa" w:w="80"/>
              <w:left w:type="dxa" w:w="100"/>
              <w:bottom w:type="dxa" w:w="80"/>
              <w:right w:type="dxa" w:w="100"/>
            </w:tcMar>
          </w:tcPr>
          <w:p>
            <w:r>
              <w:rPr>
                <w:b w:val="false"/>
                <w:bCs w:val="false"/>
                <w:sz w:val="20"/>
                <w:szCs w:val="20"/>
              </w:rPr>
              <w:t xml:space="preserve">Subtipos histológicos de câncer de mama (sujeito a validação clínica)</w:t>
            </w:r>
          </w:p>
        </w:tc>
        <w:tc>
          <w:tcPr>
            <w:tcW w:type="dxa" w:w="2700"/>
            <w:tcMar>
              <w:top w:type="dxa" w:w="80"/>
              <w:left w:type="dxa" w:w="100"/>
              <w:bottom w:type="dxa" w:w="80"/>
              <w:right w:type="dxa" w:w="100"/>
            </w:tcMar>
          </w:tcPr>
          <w:p>
            <w:r>
              <w:rPr>
                <w:b w:val="false"/>
                <w:bCs w:val="false"/>
                <w:sz w:val="20"/>
                <w:szCs w:val="20"/>
              </w:rPr>
              <w:t xml:space="preserve">Carcinoma ductal invasivo, Carcinoma lobular invasivo, Carcinoma ductal in situ, Triplo negativo, Outro</w:t>
            </w:r>
          </w:p>
        </w:tc>
      </w:tr>
      <w:tr>
        <w:tc>
          <w:tcPr>
            <w:tcW w:type="dxa" w:w="2600"/>
            <w:shd w:fill="F2F2F2" w:color="auto" w:val="clear"/>
            <w:tcMar>
              <w:top w:type="dxa" w:w="80"/>
              <w:left w:type="dxa" w:w="100"/>
              <w:bottom w:type="dxa" w:w="80"/>
              <w:right w:type="dxa" w:w="100"/>
            </w:tcMar>
          </w:tcPr>
          <w:p>
            <w:r>
              <w:rPr>
                <w:b w:val="false"/>
                <w:bCs w:val="false"/>
                <w:sz w:val="20"/>
                <w:szCs w:val="20"/>
              </w:rPr>
              <w:t xml:space="preserve">nivel_acesso</w:t>
            </w:r>
          </w:p>
        </w:tc>
        <w:tc>
          <w:tcPr>
            <w:tcW w:type="dxa" w:w="1500"/>
            <w:shd w:fill="F2F2F2" w:color="auto" w:val="clear"/>
            <w:tcMar>
              <w:top w:type="dxa" w:w="80"/>
              <w:left w:type="dxa" w:w="100"/>
              <w:bottom w:type="dxa" w:w="80"/>
              <w:right w:type="dxa" w:w="100"/>
            </w:tcMar>
          </w:tcPr>
          <w:p>
            <w:r>
              <w:rPr>
                <w:b w:val="false"/>
                <w:bCs w:val="false"/>
                <w:sz w:val="20"/>
                <w:szCs w:val="20"/>
              </w:rPr>
              <w:t xml:space="preserve">IDENTITY</w:t>
            </w:r>
          </w:p>
        </w:tc>
        <w:tc>
          <w:tcPr>
            <w:tcW w:type="dxa" w:w="3600"/>
            <w:shd w:fill="F2F2F2" w:color="auto" w:val="clear"/>
            <w:tcMar>
              <w:top w:type="dxa" w:w="80"/>
              <w:left w:type="dxa" w:w="100"/>
              <w:bottom w:type="dxa" w:w="80"/>
              <w:right w:type="dxa" w:w="100"/>
            </w:tcMar>
          </w:tcPr>
          <w:p>
            <w:r>
              <w:rPr>
                <w:b w:val="false"/>
                <w:bCs w:val="false"/>
                <w:sz w:val="20"/>
                <w:szCs w:val="20"/>
              </w:rPr>
              <w:t xml:space="preserve">Papéis de sistema para controle de acesso</w:t>
            </w:r>
          </w:p>
        </w:tc>
        <w:tc>
          <w:tcPr>
            <w:tcW w:type="dxa" w:w="2700"/>
            <w:shd w:fill="F2F2F2" w:color="auto" w:val="clear"/>
            <w:tcMar>
              <w:top w:type="dxa" w:w="80"/>
              <w:left w:type="dxa" w:w="100"/>
              <w:bottom w:type="dxa" w:w="80"/>
              <w:right w:type="dxa" w:w="100"/>
            </w:tcMar>
          </w:tcPr>
          <w:p>
            <w:r>
              <w:rPr>
                <w:b w:val="false"/>
                <w:bCs w:val="false"/>
                <w:sz w:val="20"/>
                <w:szCs w:val="20"/>
              </w:rPr>
              <w:t xml:space="preserve">admin, pesquisador, voluntario</w:t>
            </w:r>
          </w:p>
        </w:tc>
      </w:tr>
    </w:tbl>
    <w:p>
      <w:pPr>
        <w:spacing w:after="160" w:line="276"/>
      </w:pPr>
      <w:r>
        <w:t xml:space="preserve"> </w:t>
      </w:r>
    </w:p>
    <w:p>
      <w:pPr>
        <w:spacing w:after="160" w:line="276"/>
      </w:pPr>
      <w:r>
        <w:rPr>
          <w:i/>
          <w:iCs/>
          <w:color w:val="C00000"/>
        </w:rPr>
        <w:t xml:space="preserve">Atenção: as listas de tipo_comorbidade e tipo_cancer são sugestões de partida e precisam ser validadas com a equipe clínica do Remama antes do uso em produção — elas foram propostas a partir dos subtipos e condições mais comuns, não de um levantamento oficial da instituição.</w:t>
      </w:r>
    </w:p>
    <w:p>
      <w:pPr>
        <w:pBdr>
          <w:bottom w:val="single" w:color="BFBFBF" w:sz="6" w:space="1"/>
        </w:pBdr>
        <w:spacing w:after="200"/>
      </w:pPr>
    </w:p>
    <w:p>
      <w:pPr>
        <w:pStyle w:val="Heading1"/>
        <w:spacing w:after="200" w:before="400"/>
      </w:pPr>
      <w:r>
        <w:t xml:space="preserve">6. Entidade Central: participante</w:t>
      </w:r>
    </w:p>
    <w:p>
      <w:pPr>
        <w:spacing w:after="160" w:line="276"/>
      </w:pPr>
      <w:r>
        <w:t xml:space="preserve">A tabela participante é o núcleo do banco — praticamente toda tabela transacional a referencia por id_participante. Principais características de modelagem:</w:t>
      </w:r>
    </w:p>
    <w:p>
      <w:pPr>
        <w:pStyle w:val="ListParagraph"/>
        <w:numPr>
          <w:ilvl w:val="0"/>
          <w:numId w:val="1"/>
        </w:numPr>
        <w:spacing w:after="80"/>
      </w:pPr>
      <w:r>
        <w:t xml:space="preserve">cpf e numero_carteirinha são UNIQUE, prevenindo cadastro duplicado da mesma pessoa.</w:t>
      </w:r>
    </w:p>
    <w:p>
      <w:pPr>
        <w:pStyle w:val="ListParagraph"/>
        <w:numPr>
          <w:ilvl w:val="0"/>
          <w:numId w:val="1"/>
        </w:numPr>
        <w:spacing w:after="80"/>
      </w:pPr>
      <w:r>
        <w:t xml:space="preserve">id_status é uma FK para status_participante mantida automaticamente pela trigger descrita na Seção 9 — não deve ser alterada manualmente via UPDATE direto.</w:t>
      </w:r>
    </w:p>
    <w:p>
      <w:pPr>
        <w:pStyle w:val="ListParagraph"/>
        <w:numPr>
          <w:ilvl w:val="0"/>
          <w:numId w:val="1"/>
        </w:numPr>
        <w:spacing w:after="80"/>
      </w:pPr>
      <w:r>
        <w:t xml:space="preserve">sexo é restrito a 'F' ou 'M' por CHECK.</w:t>
      </w:r>
    </w:p>
    <w:p>
      <w:pPr>
        <w:pStyle w:val="ListParagraph"/>
        <w:numPr>
          <w:ilvl w:val="0"/>
          <w:numId w:val="1"/>
        </w:numPr>
        <w:spacing w:after="80"/>
      </w:pPr>
      <w:r>
        <w:t xml:space="preserve">renda_familiar_faixa é restrito a três faixas fechadas ('Até 1 SM', '1-3 SM', 'Mais de 3 SM'), usado em análises socioeconômicas do perfil das participantes.</w:t>
      </w:r>
    </w:p>
    <w:p>
      <w:pPr>
        <w:spacing w:after="160" w:line="276"/>
      </w:pPr>
      <w:r>
        <w:t xml:space="preserve">A partir de participante derivam, em relação 1:N ou 1:1, as tabelas: endereço, contato, dados antropométricos, avaliação, ficha médica, comorbidade, treinamento, evento e inscrição em programa — detalhadas na Seção 7.</w:t>
      </w:r>
    </w:p>
    <w:p>
      <w:pPr>
        <w:pBdr>
          <w:bottom w:val="single" w:color="BFBFBF" w:sz="6" w:space="1"/>
        </w:pBdr>
        <w:spacing w:after="200"/>
      </w:pPr>
    </w:p>
    <w:p>
      <w:pPr>
        <w:pStyle w:val="Heading1"/>
        <w:spacing w:after="200" w:before="400"/>
      </w:pPr>
      <w:r>
        <w:t xml:space="preserve">7. Tabelas Dependentes de participante</w:t>
      </w:r>
    </w:p>
    <w:p>
      <w:pPr>
        <w:pStyle w:val="Heading2"/>
        <w:spacing w:after="150" w:before="300"/>
      </w:pPr>
      <w:r>
        <w:t xml:space="preserve">7.1 Dados pessoais e de contato</w:t>
      </w:r>
    </w:p>
    <w:p>
      <w:pPr>
        <w:spacing w:after="100"/>
      </w:pPr>
      <w:r>
        <w:rPr>
          <w:b/>
          <w:bCs/>
        </w:rPr>
        <w:t xml:space="preserve">endereco (1:N): </w:t>
      </w:r>
      <w:r>
        <w:t xml:space="preserve">uma participante pode ter mais de um endereço registrado ao longo do tempo. O campo uf é validado por CHECK contra as 27 UFs do Brasil, evitando erro de digitação que quebraria agrupamentos geográficos.</w:t>
      </w:r>
    </w:p>
    <w:p>
      <w:pPr>
        <w:spacing w:after="100"/>
      </w:pPr>
      <w:r>
        <w:rPr>
          <w:b/>
          <w:bCs/>
        </w:rPr>
        <w:t xml:space="preserve">contato (1:N): </w:t>
      </w:r>
      <w:r>
        <w:t xml:space="preserve">dados de contato e contato de emergência — este último obrigatório, por se tratar de programa de atividade física com público de risco à saúde.</w:t>
      </w:r>
    </w:p>
    <w:p>
      <w:pPr>
        <w:pStyle w:val="Heading2"/>
        <w:spacing w:after="150" w:before="300"/>
      </w:pPr>
      <w:r>
        <w:t xml:space="preserve">7.2 Saúde e avaliação física</w:t>
      </w:r>
    </w:p>
    <w:p>
      <w:pPr>
        <w:spacing w:after="100"/>
      </w:pPr>
      <w:r>
        <w:rPr>
          <w:b/>
          <w:bCs/>
        </w:rPr>
        <w:t xml:space="preserve">dados_antropometricos (1:N): </w:t>
      </w:r>
      <w:r>
        <w:t xml:space="preserve">série histórica de medidas corporais — uma linha por medição ao longo do tempo, nunca um cadastro único sobrescrito. Permite acompanhar evolução de peso, cintura e quadril.</w:t>
      </w:r>
    </w:p>
    <w:p>
      <w:pPr>
        <w:spacing w:after="100"/>
      </w:pPr>
      <w:r>
        <w:rPr>
          <w:b/>
          <w:bCs/>
        </w:rPr>
        <w:t xml:space="preserve">avaliacao (1:N): </w:t>
      </w:r>
      <w:r>
        <w:t xml:space="preserve">bateria de testes físicos periódicos (força, marcha, flexibilidade, esforço percebido). numero_avaliacao e ano identificam a qual "rodada" de testes cada linha pertence.</w:t>
      </w:r>
    </w:p>
    <w:p>
      <w:pPr>
        <w:spacing w:after="160" w:line="276"/>
      </w:pPr>
      <w:r>
        <w:rPr>
          <w:i/>
          <w:iCs/>
        </w:rPr>
        <w:t xml:space="preserve">Nota de correção de dado: o desenho original tinha mmss_ld_kg/mmss_le_kg como DECIMAL, sugerindo medição em quilos. Ao comparar com a planilha real de testes (REMAMA_Base_Testes_2026.xlsx), constatou-se que o dado efetivamente coletado é número de repetições, não carga em kg — as colunas foram renomeadas para mmss_ld_reps/mmss_le_reps e o tipo alterado para INT. Detalhe completo na Seção 10.</w:t>
      </w:r>
    </w:p>
    <w:p>
      <w:pPr>
        <w:spacing w:after="100"/>
      </w:pPr>
      <w:r>
        <w:rPr>
          <w:b/>
          <w:bCs/>
        </w:rPr>
        <w:t xml:space="preserve">ficha_medica (1:1): </w:t>
      </w:r>
      <w:r>
        <w:t xml:space="preserve">dados clínicos sensíveis — categoria especial de dado pessoal pela LGPD. UNIQUE em id_participante garante no máximo uma ficha por participante. Referencia tipo_cancer por FK (substituindo o antigo campo de texto livre).</w:t>
      </w:r>
    </w:p>
    <w:p>
      <w:pPr>
        <w:spacing w:after="100"/>
      </w:pPr>
      <w:r>
        <w:rPr>
          <w:b/>
          <w:bCs/>
        </w:rPr>
        <w:t xml:space="preserve">comorbidade (N:N materializada): </w:t>
      </w:r>
      <w:r>
        <w:t xml:space="preserve">relaciona participante e tipo_comorbidade — uma participante pode ter várias comorbidades, e uma comorbidade é compartilhada por várias participantes.</w:t>
      </w:r>
    </w:p>
    <w:p>
      <w:pPr>
        <w:pStyle w:val="Heading2"/>
        <w:spacing w:after="150" w:before="300"/>
      </w:pPr>
      <w:r>
        <w:t xml:space="preserve">7.3 Atividades e programas</w:t>
      </w:r>
    </w:p>
    <w:p>
      <w:pPr>
        <w:spacing w:after="100"/>
      </w:pPr>
      <w:r>
        <w:rPr>
          <w:b/>
          <w:bCs/>
        </w:rPr>
        <w:t xml:space="preserve">treinamento: </w:t>
      </w:r>
      <w:r>
        <w:t xml:space="preserve">registra a CONCLUSÃO de uma especialização de treinamento por uma participante (diferente de uma sessão de treino do dia a dia, que é rastreada por registro_frequencia).</w:t>
      </w:r>
    </w:p>
    <w:p>
      <w:pPr>
        <w:spacing w:after="100"/>
      </w:pPr>
      <w:r>
        <w:rPr>
          <w:b/>
          <w:bCs/>
        </w:rPr>
        <w:t xml:space="preserve">evento: </w:t>
      </w:r>
      <w:r>
        <w:t xml:space="preserve">participação em competições/eventos externos, como campeonatos de dragon boat ou corridas beneficentes.</w:t>
      </w:r>
    </w:p>
    <w:p>
      <w:pPr>
        <w:spacing w:after="100"/>
      </w:pPr>
      <w:r>
        <w:rPr>
          <w:b/>
          <w:bCs/>
        </w:rPr>
        <w:t xml:space="preserve">inscricao_programa: </w:t>
      </w:r>
      <w:r>
        <w:t xml:space="preserve">vínculo de uma participante a um programa específico, com cargo e datas. data_desligamento NULL significa inscrição ainda ativa; data preenchida significa que a participante saiu daquele programa especificamente (podendo continuar ativa em outro). Esta tabela é metade da lógica da trigger de integridade — ver Seção 9.</w:t>
      </w:r>
    </w:p>
    <w:p>
      <w:pPr>
        <w:pBdr>
          <w:bottom w:val="single" w:color="BFBFBF" w:sz="6" w:space="1"/>
        </w:pBdr>
        <w:spacing w:after="200"/>
      </w:pPr>
    </w:p>
    <w:p>
      <w:pPr>
        <w:pStyle w:val="Heading1"/>
        <w:spacing w:after="200" w:before="400"/>
      </w:pPr>
      <w:r>
        <w:t xml:space="preserve">8. Registro de Frequência</w:t>
      </w:r>
    </w:p>
    <w:p>
      <w:pPr>
        <w:spacing w:after="160" w:line="276"/>
      </w:pPr>
      <w:r>
        <w:t xml:space="preserve">registro_frequencia guarda uma linha por chamada/presença registrada. Cada registro pertence a um treinamento OU a um evento — nunca aos dois, nunca a nenhum — regra garantida por CHECK: todo registro de frequência precisa estar vinculado a alguma atividade concreta, senão não se sabe do que é a presença ou falta.</w:t>
      </w:r>
    </w:p>
    <w:p>
      <w:pPr>
        <w:pStyle w:val="ListParagraph"/>
        <w:numPr>
          <w:ilvl w:val="0"/>
          <w:numId w:val="1"/>
        </w:numPr>
        <w:spacing w:after="80"/>
      </w:pPr>
      <w:r>
        <w:t xml:space="preserve">fc_antes e fc_depois (frequência cardíaca antes/depois do treino) têm CHECK de faixa fisiologicamente plausível (30 a 220), evitando erros grosseiros de digitação.</w:t>
      </w:r>
    </w:p>
    <w:p>
      <w:pPr>
        <w:pStyle w:val="ListParagraph"/>
        <w:numPr>
          <w:ilvl w:val="0"/>
          <w:numId w:val="1"/>
        </w:numPr>
        <w:spacing w:after="80"/>
      </w:pPr>
      <w:r>
        <w:t xml:space="preserve">O campo PSE foi removido desta tabela e existe apenas em avaliacao.pse — são dois PSEs conceitualmente diferentes: o desta tabela mediria o esforço do treino cotidiano, enquanto o que a Remama efetivamente registra na prática é o esforço percebido durante a bateria de testes físicos, que é semanticamente de avaliacao.</w:t>
      </w:r>
    </w:p>
    <w:p>
      <w:pPr>
        <w:pBdr>
          <w:bottom w:val="single" w:color="BFBFBF" w:sz="6" w:space="1"/>
        </w:pBdr>
        <w:spacing w:after="200"/>
      </w:pPr>
    </w:p>
    <w:p>
      <w:pPr>
        <w:pStyle w:val="Heading1"/>
        <w:spacing w:after="200" w:before="400"/>
      </w:pPr>
      <w:r>
        <w:t xml:space="preserve">9. Funcionários, Auditoria e Controle de Acesso</w:t>
      </w:r>
    </w:p>
    <w:p>
      <w:pPr>
        <w:pStyle w:val="Heading2"/>
        <w:spacing w:after="150" w:before="300"/>
      </w:pPr>
      <w:r>
        <w:t xml:space="preserve">9.1 Funcionários e auditoria</w:t>
      </w:r>
    </w:p>
    <w:p>
      <w:pPr>
        <w:spacing w:after="100"/>
      </w:pPr>
      <w:r>
        <w:rPr>
          <w:b/>
          <w:bCs/>
        </w:rPr>
        <w:t xml:space="preserve">funcionarios: </w:t>
      </w:r>
      <w:r>
        <w:t xml:space="preserve">cadastro profissional da equipe técnica. Não possui coluna de senha — a autenticação é centralizada em usuario_acesso, para não haver duas fontes de senha para a mesma pessoa.</w:t>
      </w:r>
    </w:p>
    <w:p>
      <w:pPr>
        <w:spacing w:after="100"/>
      </w:pPr>
      <w:r>
        <w:rPr>
          <w:b/>
          <w:bCs/>
        </w:rPr>
        <w:t xml:space="preserve">auditoria_sistema: </w:t>
      </w:r>
      <w:r>
        <w:t xml:space="preserve">trilha de auditoria de alterações no sistema (quem fez o quê, quando, e o valor antes/depois em JSONB). O campo acao é restrito por CHECK a INSERT, UPDATE ou DELETE.</w:t>
      </w:r>
    </w:p>
    <w:p>
      <w:pPr>
        <w:pStyle w:val="Heading2"/>
        <w:spacing w:after="150" w:before="300"/>
      </w:pPr>
      <w:r>
        <w:t xml:space="preserve">9.2 Autenticação e preparação para RLS</w:t>
      </w:r>
    </w:p>
    <w:p>
      <w:pPr>
        <w:spacing w:after="160" w:line="276"/>
      </w:pPr>
      <w:r>
        <w:t xml:space="preserve">A arquitetura foi pensada para banco de produção rodando fora do Supabase (Postgres puro) — não depende de auth.uid() nem de auth.users, exclusivos do Supabase Auth/GoTrue. Em vez disso, o backend da aplicação autentica o usuário e injeta a identidade na sessão do Postgres via SET LOCAL; as políticas de RLS da Fase 2 lerão essa informação com current_setting().</w:t>
      </w:r>
    </w:p>
    <w:p>
      <w:pPr>
        <w:spacing w:after="100"/>
      </w:pPr>
      <w:r>
        <w:rPr>
          <w:b/>
          <w:bCs/>
        </w:rPr>
        <w:t xml:space="preserve">nivel_acesso: </w:t>
      </w:r>
      <w:r>
        <w:t xml:space="preserve">os papéis de sistema definidos para o projeto (ver proposta revisada na Seção 11).</w:t>
      </w:r>
    </w:p>
    <w:p>
      <w:pPr>
        <w:spacing w:after="100"/>
      </w:pPr>
      <w:r>
        <w:rPr>
          <w:b/>
          <w:bCs/>
        </w:rPr>
        <w:t xml:space="preserve">usuario_acesso: </w:t>
      </w:r>
      <w:r>
        <w:t xml:space="preserve">elo entre o login (e-mail/senha) e a pessoa real no banco — seja uma participante (via id_participante) ou um membro da equipe (via id_funcionario). Regra de negócio pendente para a Fase 2: exatamente um dos dois vínculos deve estar preenchido por usuário, a ser reforçada por CHECK ou trigger junto com o RLS.</w:t>
      </w:r>
    </w:p>
    <w:p>
      <w:pPr>
        <w:pBdr>
          <w:bottom w:val="single" w:color="BFBFBF" w:sz="6" w:space="1"/>
        </w:pBdr>
        <w:spacing w:after="200"/>
      </w:pPr>
    </w:p>
    <w:p>
      <w:pPr>
        <w:pStyle w:val="Heading1"/>
        <w:spacing w:after="200" w:before="400"/>
      </w:pPr>
      <w:r>
        <w:t xml:space="preserve">10. Trigger de Integridade</w:t>
      </w:r>
    </w:p>
    <w:p>
      <w:pPr>
        <w:pStyle w:val="Heading2"/>
        <w:spacing w:after="150" w:before="300"/>
      </w:pPr>
      <w:r>
        <w:t xml:space="preserve">10.1 O problema que a trigger resolve</w:t>
      </w:r>
    </w:p>
    <w:p>
      <w:pPr>
        <w:spacing w:after="160" w:line="276"/>
      </w:pPr>
      <w:r>
        <w:t xml:space="preserve">O banco tem duas informações parecidas, mas com granularidades diferentes:</w:t>
      </w:r>
    </w:p>
    <w:p>
      <w:pPr>
        <w:pStyle w:val="ListParagraph"/>
        <w:numPr>
          <w:ilvl w:val="0"/>
          <w:numId w:val="1"/>
        </w:numPr>
        <w:spacing w:after="80"/>
      </w:pPr>
      <w:r>
        <w:t xml:space="preserve">participante.id_status — status GLOBAL: a participante tem qualquer vínculo ativo com o Remama, em qualquer programa?</w:t>
      </w:r>
    </w:p>
    <w:p>
      <w:pPr>
        <w:pStyle w:val="ListParagraph"/>
        <w:numPr>
          <w:ilvl w:val="0"/>
          <w:numId w:val="1"/>
        </w:numPr>
        <w:spacing w:after="80"/>
      </w:pPr>
      <w:r>
        <w:t xml:space="preserve">inscricao_programa.data_desligamento — status POR PROGRAMA: quando (se) a participante saiu de um programa específico.</w:t>
      </w:r>
    </w:p>
    <w:p>
      <w:pPr>
        <w:spacing w:after="160" w:line="276"/>
      </w:pPr>
      <w:r>
        <w:t xml:space="preserve">Uma participante pode estar inscrita em mais de um programa. Se sai de apenas um deles, seu status global deve continuar "Ativa", pois ainda participa do outro. Só deve virar "Desligada" quando não sobrar nenhuma inscrição ativa. Sem uma trigger, essa checagem ficaria a cargo de cada ponto do código da aplicação lembrar de fazer — um esquecimento gera dado inconsistente. Colocar a regra na trigger garante a integridade dentro do próprio banco, independentemente de qual aplicação ou script está inserindo os dados.</w:t>
      </w:r>
    </w:p>
    <w:p>
      <w:pPr>
        <w:pStyle w:val="Heading2"/>
        <w:spacing w:after="150" w:before="300"/>
      </w:pPr>
      <w:r>
        <w:t xml:space="preserve">10.2 O que a trigger faz</w:t>
      </w:r>
    </w:p>
    <w:p>
      <w:pPr>
        <w:pStyle w:val="ListParagraph"/>
        <w:numPr>
          <w:ilvl w:val="0"/>
          <w:numId w:val="1"/>
        </w:numPr>
        <w:spacing w:after="80"/>
      </w:pPr>
      <w:r>
        <w:t xml:space="preserve">Identifica qual participante foi afetada pela alteração em inscricao_programa (cobre INSERT, UPDATE e DELETE via COALESCE entre NEW e OLD).</w:t>
      </w:r>
    </w:p>
    <w:p>
      <w:pPr>
        <w:pStyle w:val="ListParagraph"/>
        <w:numPr>
          <w:ilvl w:val="0"/>
          <w:numId w:val="1"/>
        </w:numPr>
        <w:spacing w:after="80"/>
      </w:pPr>
      <w:r>
        <w:t xml:space="preserve">Verifica se a participante ainda tem pelo menos uma inscrição ativa (data_desligamento IS NULL).</w:t>
      </w:r>
    </w:p>
    <w:p>
      <w:pPr>
        <w:pStyle w:val="ListParagraph"/>
        <w:numPr>
          <w:ilvl w:val="0"/>
          <w:numId w:val="1"/>
        </w:numPr>
        <w:spacing w:after="80"/>
      </w:pPr>
      <w:r>
        <w:t xml:space="preserve">Se tem inscrição ativa mas estava marcada "Desligada" (id_status = 4) → volta para "Ativa" (1).</w:t>
      </w:r>
    </w:p>
    <w:p>
      <w:pPr>
        <w:pStyle w:val="ListParagraph"/>
        <w:numPr>
          <w:ilvl w:val="0"/>
          <w:numId w:val="1"/>
        </w:numPr>
        <w:spacing w:after="80"/>
      </w:pPr>
      <w:r>
        <w:t xml:space="preserve">Se não tem mais nenhuma inscrição ativa mas ainda estava "Ativa" (id_status = 1) → muda para "Desligada" (4).</w:t>
      </w:r>
    </w:p>
    <w:p>
      <w:pPr>
        <w:pStyle w:val="ListParagraph"/>
        <w:numPr>
          <w:ilvl w:val="0"/>
          <w:numId w:val="1"/>
        </w:numPr>
        <w:spacing w:after="80"/>
      </w:pPr>
      <w:r>
        <w:t xml:space="preserve">Não mexe em nenhum outro status — "Afastada" (id_status = 3) é controle manual da equipe (pausa temporária) e a trigger propositalmente não sobrescreve essa decisão humana.</w:t>
      </w:r>
    </w:p>
    <w:p>
      <w:pPr>
        <w:pStyle w:val="Heading2"/>
        <w:spacing w:after="150" w:before="300"/>
      </w:pPr>
      <w:r>
        <w:t xml:space="preserve">10.3 Quando dispara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200"/>
        <w:gridCol w:w="6200"/>
      </w:tblGrid>
      <w:tr>
        <w:trPr>
          <w:tblHeader/>
        </w:trPr>
        <w:tc>
          <w:tcPr>
            <w:tcW w:type="dxa" w:w="4200"/>
            <w:shd w:fill="1F3864" w:color="auto" w:val="clear"/>
            <w:tcMar>
              <w:top w:type="dxa" w:w="80"/>
              <w:left w:type="dxa" w:w="100"/>
              <w:bottom w:type="dxa" w:w="80"/>
              <w:right w:type="dxa" w:w="100"/>
            </w:tcMar>
          </w:tcPr>
          <w:p>
            <w:r>
              <w:rPr>
                <w:b/>
                <w:bCs/>
                <w:color w:val="FFFFFF"/>
                <w:sz w:val="20"/>
                <w:szCs w:val="20"/>
              </w:rPr>
              <w:t xml:space="preserve">Evento</w:t>
            </w:r>
          </w:p>
        </w:tc>
        <w:tc>
          <w:tcPr>
            <w:tcW w:type="dxa" w:w="6200"/>
            <w:shd w:fill="1F3864" w:color="auto" w:val="clear"/>
            <w:tcMar>
              <w:top w:type="dxa" w:w="80"/>
              <w:left w:type="dxa" w:w="100"/>
              <w:bottom w:type="dxa" w:w="80"/>
              <w:right w:type="dxa" w:w="100"/>
            </w:tcMar>
          </w:tcPr>
          <w:p>
            <w:r>
              <w:rPr>
                <w:b/>
                <w:bCs/>
                <w:color w:val="FFFFFF"/>
                <w:sz w:val="20"/>
                <w:szCs w:val="20"/>
              </w:rPr>
              <w:t xml:space="preserve">Situação coberta</w:t>
            </w:r>
          </w:p>
        </w:tc>
      </w:tr>
      <w:tr>
        <w:tc>
          <w:tcPr>
            <w:tcW w:type="dxa" w:w="4200"/>
            <w:tcMar>
              <w:top w:type="dxa" w:w="80"/>
              <w:left w:type="dxa" w:w="100"/>
              <w:bottom w:type="dxa" w:w="80"/>
              <w:right w:type="dxa" w:w="100"/>
            </w:tcMar>
          </w:tcPr>
          <w:p>
            <w:r>
              <w:rPr>
                <w:b w:val="false"/>
                <w:bCs w:val="false"/>
                <w:sz w:val="20"/>
                <w:szCs w:val="20"/>
              </w:rPr>
              <w:t xml:space="preserve">AFTER INSERT</w:t>
            </w:r>
          </w:p>
        </w:tc>
        <w:tc>
          <w:tcPr>
            <w:tcW w:type="dxa" w:w="6200"/>
            <w:tcMar>
              <w:top w:type="dxa" w:w="80"/>
              <w:left w:type="dxa" w:w="100"/>
              <w:bottom w:type="dxa" w:w="80"/>
              <w:right w:type="dxa" w:w="100"/>
            </w:tcMar>
          </w:tcPr>
          <w:p>
            <w:r>
              <w:rPr>
                <w:b w:val="false"/>
                <w:bCs w:val="false"/>
                <w:sz w:val="20"/>
                <w:szCs w:val="20"/>
              </w:rPr>
              <w:t xml:space="preserve">Nova inscrição criada — participante pode voltar a "Ativa" se estava "Desligada"</w:t>
            </w:r>
          </w:p>
        </w:tc>
      </w:tr>
      <w:tr>
        <w:tc>
          <w:tcPr>
            <w:tcW w:type="dxa" w:w="4200"/>
            <w:shd w:fill="F2F2F2" w:color="auto" w:val="clear"/>
            <w:tcMar>
              <w:top w:type="dxa" w:w="80"/>
              <w:left w:type="dxa" w:w="100"/>
              <w:bottom w:type="dxa" w:w="80"/>
              <w:right w:type="dxa" w:w="100"/>
            </w:tcMar>
          </w:tcPr>
          <w:p>
            <w:r>
              <w:rPr>
                <w:b w:val="false"/>
                <w:bCs w:val="false"/>
                <w:sz w:val="20"/>
                <w:szCs w:val="20"/>
              </w:rPr>
              <w:t xml:space="preserve">AFTER UPDATE OF data_desligamento</w:t>
            </w:r>
          </w:p>
        </w:tc>
        <w:tc>
          <w:tcPr>
            <w:tcW w:type="dxa" w:w="6200"/>
            <w:shd w:fill="F2F2F2" w:color="auto" w:val="clear"/>
            <w:tcMar>
              <w:top w:type="dxa" w:w="80"/>
              <w:left w:type="dxa" w:w="100"/>
              <w:bottom w:type="dxa" w:w="80"/>
              <w:right w:type="dxa" w:w="100"/>
            </w:tcMar>
          </w:tcPr>
          <w:p>
            <w:r>
              <w:rPr>
                <w:b w:val="false"/>
                <w:bCs w:val="false"/>
                <w:sz w:val="20"/>
                <w:szCs w:val="20"/>
              </w:rPr>
              <w:t xml:space="preserve">Desligamento ou reativação de uma inscrição existente</w:t>
            </w:r>
          </w:p>
        </w:tc>
      </w:tr>
      <w:tr>
        <w:tc>
          <w:tcPr>
            <w:tcW w:type="dxa" w:w="4200"/>
            <w:tcMar>
              <w:top w:type="dxa" w:w="80"/>
              <w:left w:type="dxa" w:w="100"/>
              <w:bottom w:type="dxa" w:w="80"/>
              <w:right w:type="dxa" w:w="100"/>
            </w:tcMar>
          </w:tcPr>
          <w:p>
            <w:r>
              <w:rPr>
                <w:b w:val="false"/>
                <w:bCs w:val="false"/>
                <w:sz w:val="20"/>
                <w:szCs w:val="20"/>
              </w:rPr>
              <w:t xml:space="preserve">AFTER DELETE</w:t>
            </w:r>
          </w:p>
        </w:tc>
        <w:tc>
          <w:tcPr>
            <w:tcW w:type="dxa" w:w="6200"/>
            <w:tcMar>
              <w:top w:type="dxa" w:w="80"/>
              <w:left w:type="dxa" w:w="100"/>
              <w:bottom w:type="dxa" w:w="80"/>
              <w:right w:type="dxa" w:w="100"/>
            </w:tcMar>
          </w:tcPr>
          <w:p>
            <w:r>
              <w:rPr>
                <w:b w:val="false"/>
                <w:bCs w:val="false"/>
                <w:sz w:val="20"/>
                <w:szCs w:val="20"/>
              </w:rPr>
              <w:t xml:space="preserve">Remoção de uma inscrição (caso raro, mas coberto)</w:t>
            </w:r>
          </w:p>
        </w:tc>
      </w:tr>
    </w:tbl>
    <w:p>
      <w:pPr>
        <w:spacing w:after="160" w:line="276"/>
      </w:pPr>
      <w:r>
        <w:t xml:space="preserve"> </w:t>
      </w:r>
    </w:p>
    <w:p>
      <w:pPr>
        <w:spacing w:after="160" w:line="276"/>
      </w:pPr>
      <w:r>
        <w:rPr>
          <w:i/>
          <w:iCs/>
        </w:rPr>
        <w:t xml:space="preserve">O gatilho de UPDATE é limitado à coluna data_desligamento — a trigger não dispara à toa em updates de outras colunas de inscricao_programa (por exemplo, mudança de turma), evitando processamento desnecessário.</w:t>
      </w:r>
    </w:p>
    <w:p>
      <w:pPr>
        <w:pBdr>
          <w:bottom w:val="single" w:color="BFBFBF" w:sz="6" w:space="1"/>
        </w:pBdr>
        <w:spacing w:after="200"/>
      </w:pPr>
    </w:p>
    <w:p>
      <w:pPr>
        <w:pStyle w:val="Heading1"/>
        <w:spacing w:after="200" w:before="400"/>
      </w:pPr>
      <w:r>
        <w:t xml:space="preserve">11. Views de Consumo de Dados</w:t>
      </w:r>
    </w:p>
    <w:p>
      <w:pPr>
        <w:spacing w:after="160" w:line="276"/>
      </w:pPr>
      <w:r>
        <w:t xml:space="preserve">Foram desenhadas cinco views, cada uma com público-alvo e nível de acesso a dado sensível distintos. Esse desenho antecipa a separação de papéis que será formalizada via RLS na Fase 2 (Seção 13).</w:t>
      </w:r>
    </w:p>
    <w:p>
      <w:pPr>
        <w:pStyle w:val="Heading2"/>
        <w:spacing w:after="150" w:before="300"/>
      </w:pPr>
      <w:r>
        <w:t xml:space="preserve">11.1 vw_participante_programas</w:t>
      </w:r>
    </w:p>
    <w:p>
      <w:pPr>
        <w:spacing w:after="100"/>
      </w:pPr>
      <w:r>
        <w:rPr>
          <w:b/>
          <w:bCs/>
        </w:rPr>
        <w:t xml:space="preserve">Objetivo: </w:t>
      </w:r>
      <w:r>
        <w:t xml:space="preserve">classificar as participantes por tipo de programa (Remama, Oncofit ou Ambos), a partir das inscrições ativas.</w:t>
      </w:r>
    </w:p>
    <w:p>
      <w:pPr>
        <w:spacing w:after="100"/>
      </w:pPr>
      <w:r>
        <w:rPr>
          <w:b/>
          <w:bCs/>
        </w:rPr>
        <w:t xml:space="preserve">Público-alvo: </w:t>
      </w:r>
      <w:r>
        <w:t xml:space="preserve">gestão de programas, coordenadores, relatórios de distribuição.</w:t>
      </w:r>
    </w:p>
    <w:p>
      <w:pPr>
        <w:spacing w:after="100"/>
      </w:pPr>
      <w:r>
        <w:rPr>
          <w:b/>
          <w:bCs/>
        </w:rPr>
        <w:t xml:space="preserve">Uso: </w:t>
      </w:r>
      <w:r>
        <w:t xml:space="preserve">SELECT * FROM vw_participante_programas WHERE tipo_programa_codigo = 1 (1 = Remama, 2 = Oncofit, 3 = Ambos).</w:t>
      </w:r>
    </w:p>
    <w:p>
      <w:pPr>
        <w:spacing w:after="100"/>
      </w:pPr>
      <w:r>
        <w:rPr>
          <w:b/>
          <w:bCs/>
        </w:rPr>
        <w:t xml:space="preserve">Restrição: </w:t>
      </w:r>
      <w:r>
        <w:t xml:space="preserve">considera apenas inscrições ativas (data_desligamento IS NULL) e apenas os programas 1 e 2.</w:t>
      </w:r>
    </w:p>
    <w:p>
      <w:pPr>
        <w:pStyle w:val="Heading2"/>
        <w:spacing w:after="150" w:before="300"/>
      </w:pPr>
      <w:r>
        <w:t xml:space="preserve">11.2 vw_evolucao_resumida / vw_evolucao_participantes</w:t>
      </w:r>
    </w:p>
    <w:p>
      <w:pPr>
        <w:spacing w:after="100"/>
      </w:pPr>
      <w:r>
        <w:rPr>
          <w:b/>
          <w:bCs/>
        </w:rPr>
        <w:t xml:space="preserve">Objetivo: </w:t>
      </w:r>
      <w:r>
        <w:t xml:space="preserve">acompanhar a evolução física das participantes — variação de peso entre primeira e última medição, taxa de presença global e classificação automática de evolução (perda/ganho significativo, estável etc.).</w:t>
      </w:r>
    </w:p>
    <w:p>
      <w:pPr>
        <w:spacing w:after="100"/>
      </w:pPr>
      <w:r>
        <w:rPr>
          <w:b/>
          <w:bCs/>
        </w:rPr>
        <w:t xml:space="preserve">Público-alvo: </w:t>
      </w:r>
      <w:r>
        <w:t xml:space="preserve">coordenadores, professores, equipe de avaliação de resultados.</w:t>
      </w:r>
    </w:p>
    <w:p>
      <w:pPr>
        <w:spacing w:after="100"/>
      </w:pPr>
      <w:r>
        <w:rPr>
          <w:b/>
          <w:bCs/>
        </w:rPr>
        <w:t xml:space="preserve">Restrição: </w:t>
      </w:r>
      <w:r>
        <w:t xml:space="preserve">inclui apenas participantes com 2 ou mais medições antropométricas registradas.</w:t>
      </w:r>
    </w:p>
    <w:p>
      <w:pPr>
        <w:pStyle w:val="Heading2"/>
        <w:spacing w:after="150" w:before="300"/>
      </w:pPr>
      <w:r>
        <w:t xml:space="preserve">11.3 vw_pesquisa_anonimizada</w:t>
      </w:r>
    </w:p>
    <w:p>
      <w:pPr>
        <w:spacing w:after="100"/>
      </w:pPr>
      <w:r>
        <w:rPr>
          <w:b/>
          <w:bCs/>
        </w:rPr>
        <w:t xml:space="preserve">Objetivo: </w:t>
      </w:r>
      <w:r>
        <w:t xml:space="preserve">fornecer dados anonimizados para pesquisadores, permitindo análises estatísticas sem expor dados pessoais das participantes.</w:t>
      </w:r>
    </w:p>
    <w:p>
      <w:pPr>
        <w:spacing w:after="100"/>
      </w:pPr>
      <w:r>
        <w:rPr>
          <w:b/>
          <w:bCs/>
        </w:rPr>
        <w:t xml:space="preserve">Público-alvo: </w:t>
      </w:r>
      <w:r>
        <w:t xml:space="preserve">pesquisadores, coordenadores de pesquisa, equipe de avaliação de resultados.</w:t>
      </w:r>
    </w:p>
    <w:p>
      <w:pPr>
        <w:spacing w:after="160" w:line="276"/>
      </w:pPr>
      <w:r>
        <w:t xml:space="preserve">Características principais:</w:t>
      </w:r>
    </w:p>
    <w:p>
      <w:pPr>
        <w:pStyle w:val="ListParagraph"/>
        <w:numPr>
          <w:ilvl w:val="0"/>
          <w:numId w:val="1"/>
        </w:numPr>
        <w:spacing w:after="80"/>
      </w:pPr>
      <w:r>
        <w:t xml:space="preserve">Código único anônimo por participante (P_0001, P_0002, ...), sem nenhum dado pessoal identificável (nome, CPF, contatos).</w:t>
      </w:r>
    </w:p>
    <w:p>
      <w:pPr>
        <w:pStyle w:val="ListParagraph"/>
        <w:numPr>
          <w:ilvl w:val="0"/>
          <w:numId w:val="1"/>
        </w:numPr>
        <w:spacing w:after="80"/>
      </w:pPr>
      <w:r>
        <w:t xml:space="preserve">Dados demográficos agrupados por faixa (idade, renda, categoria profissional inferida a partir da profissão informada).</w:t>
      </w:r>
    </w:p>
    <w:p>
      <w:pPr>
        <w:pStyle w:val="ListParagraph"/>
        <w:numPr>
          <w:ilvl w:val="0"/>
          <w:numId w:val="1"/>
        </w:numPr>
        <w:spacing w:after="80"/>
      </w:pPr>
      <w:r>
        <w:t xml:space="preserve">Dados antropométricos e sua evolução (peso inicial/atual/médio, relação cintura-quadril).</w:t>
      </w:r>
    </w:p>
    <w:p>
      <w:pPr>
        <w:pStyle w:val="ListParagraph"/>
        <w:numPr>
          <w:ilvl w:val="0"/>
          <w:numId w:val="1"/>
        </w:numPr>
        <w:spacing w:after="80"/>
      </w:pPr>
      <w:r>
        <w:t xml:space="preserve">Dados médicos e comorbidades (tipo de câncer, mamas afetadas, recidiva, comorbidades e uso de medicação).</w:t>
      </w:r>
    </w:p>
    <w:p>
      <w:pPr>
        <w:pStyle w:val="ListParagraph"/>
        <w:numPr>
          <w:ilvl w:val="0"/>
          <w:numId w:val="1"/>
        </w:numPr>
        <w:spacing w:after="80"/>
      </w:pPr>
      <w:r>
        <w:t xml:space="preserve">Avaliações físicas (médias e evolução dos testes de força, marcha e flexibilidade).</w:t>
      </w:r>
    </w:p>
    <w:p>
      <w:pPr>
        <w:pStyle w:val="ListParagraph"/>
        <w:numPr>
          <w:ilvl w:val="0"/>
          <w:numId w:val="1"/>
        </w:numPr>
        <w:spacing w:after="80"/>
      </w:pPr>
      <w:r>
        <w:t xml:space="preserve">Frequência e aderência ao programa, com classificação automática (Alta, Média, Baixa aderência).</w:t>
      </w:r>
    </w:p>
    <w:p>
      <w:pPr>
        <w:spacing w:after="100"/>
      </w:pPr>
      <w:r>
        <w:rPr>
          <w:b/>
          <w:bCs/>
        </w:rPr>
        <w:t xml:space="preserve">Restrições: </w:t>
      </w:r>
      <w:r>
        <w:t xml:space="preserve">apenas participantes com pelo menos 2 medições antropométricas; apenas programas 1 e 2; apenas inscrições ativas.</w:t>
      </w:r>
    </w:p>
    <w:p>
      <w:pPr>
        <w:pStyle w:val="Heading2"/>
        <w:spacing w:after="150" w:before="300"/>
      </w:pPr>
      <w:r>
        <w:t xml:space="preserve">11.4 vw_gestao_professor</w:t>
      </w:r>
    </w:p>
    <w:p>
      <w:pPr>
        <w:spacing w:after="100"/>
      </w:pPr>
      <w:r>
        <w:rPr>
          <w:b/>
          <w:bCs/>
        </w:rPr>
        <w:t xml:space="preserve">Objetivo: </w:t>
      </w:r>
      <w:r>
        <w:t xml:space="preserve">visão gerencial completa das participantes para o dia a dia da equipe técnica, com alertas automáticos e recomendações de ação.</w:t>
      </w:r>
    </w:p>
    <w:p>
      <w:pPr>
        <w:spacing w:after="100"/>
      </w:pPr>
      <w:r>
        <w:rPr>
          <w:b/>
          <w:bCs/>
        </w:rPr>
        <w:t xml:space="preserve">Público-alvo: </w:t>
      </w:r>
      <w:r>
        <w:t xml:space="preserve">professores, educadores físicos, coordenadores de turma.</w:t>
      </w:r>
    </w:p>
    <w:p>
      <w:pPr>
        <w:spacing w:after="100"/>
      </w:pPr>
      <w:r>
        <w:rPr>
          <w:b/>
          <w:bCs/>
        </w:rPr>
        <w:t xml:space="preserve">Contexto de uso: </w:t>
      </w:r>
      <w:r>
        <w:t xml:space="preserve">projetada para ser consumida pelo front-end do aplicativo — a consulta padrão é SELECT * FROM vw_gestao_professor, com o professor filtrando os dados relevantes conforme a necessidade do dia a dia.</w:t>
      </w:r>
    </w:p>
    <w:p>
      <w:pPr>
        <w:spacing w:after="160" w:line="276"/>
      </w:pPr>
      <w:r>
        <w:t xml:space="preserve">Diferencial em relação à view de pesquisa: aqui a participante É identificável (nome, carteirinha, turma), mas nenhum dado médico ou diagnóstico é exposto — a lógica de negócio descrita na Seção 12 é justamente separar quem vê identidade de quem vê diagnóstico.</w:t>
      </w:r>
    </w:p>
    <w:p>
      <w:pPr>
        <w:pStyle w:val="Heading3"/>
        <w:spacing w:after="100" w:before="200"/>
      </w:pPr>
      <w:r>
        <w:t xml:space="preserve">Alertas e recomendações automáticas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200"/>
        <w:gridCol w:w="6200"/>
      </w:tblGrid>
      <w:tr>
        <w:trPr>
          <w:tblHeader/>
        </w:trPr>
        <w:tc>
          <w:tcPr>
            <w:tcW w:type="dxa" w:w="4200"/>
            <w:shd w:fill="1F3864" w:color="auto" w:val="clear"/>
            <w:tcMar>
              <w:top w:type="dxa" w:w="80"/>
              <w:left w:type="dxa" w:w="100"/>
              <w:bottom w:type="dxa" w:w="80"/>
              <w:right w:type="dxa" w:w="100"/>
            </w:tcMar>
          </w:tcPr>
          <w:p>
            <w:r>
              <w:rPr>
                <w:b/>
                <w:bCs/>
                <w:color w:val="FFFFFF"/>
                <w:sz w:val="20"/>
                <w:szCs w:val="20"/>
              </w:rPr>
              <w:t xml:space="preserve">Indicador</w:t>
            </w:r>
          </w:p>
        </w:tc>
        <w:tc>
          <w:tcPr>
            <w:tcW w:type="dxa" w:w="6200"/>
            <w:shd w:fill="1F3864" w:color="auto" w:val="clear"/>
            <w:tcMar>
              <w:top w:type="dxa" w:w="80"/>
              <w:left w:type="dxa" w:w="100"/>
              <w:bottom w:type="dxa" w:w="80"/>
              <w:right w:type="dxa" w:w="100"/>
            </w:tcMar>
          </w:tcPr>
          <w:p>
            <w:r>
              <w:rPr>
                <w:b/>
                <w:bCs/>
                <w:color w:val="FFFFFF"/>
                <w:sz w:val="20"/>
                <w:szCs w:val="20"/>
              </w:rPr>
              <w:t xml:space="preserve">Condição de disparo</w:t>
            </w:r>
          </w:p>
        </w:tc>
      </w:tr>
      <w:tr>
        <w:tc>
          <w:tcPr>
            <w:tcW w:type="dxa" w:w="4200"/>
            <w:tcMar>
              <w:top w:type="dxa" w:w="80"/>
              <w:left w:type="dxa" w:w="100"/>
              <w:bottom w:type="dxa" w:w="80"/>
              <w:right w:type="dxa" w:w="100"/>
            </w:tcMar>
          </w:tcPr>
          <w:p>
            <w:r>
              <w:rPr>
                <w:b w:val="false"/>
                <w:bCs w:val="false"/>
                <w:sz w:val="20"/>
                <w:szCs w:val="20"/>
              </w:rPr>
              <w:t xml:space="preserve">ALTO RISCO (frequência)</w:t>
            </w:r>
          </w:p>
        </w:tc>
        <w:tc>
          <w:tcPr>
            <w:tcW w:type="dxa" w:w="6200"/>
            <w:tcMar>
              <w:top w:type="dxa" w:w="80"/>
              <w:left w:type="dxa" w:w="100"/>
              <w:bottom w:type="dxa" w:w="80"/>
              <w:right w:type="dxa" w:w="100"/>
            </w:tcMar>
          </w:tcPr>
          <w:p>
            <w:r>
              <w:rPr>
                <w:b w:val="false"/>
                <w:bCs w:val="false"/>
                <w:sz w:val="20"/>
                <w:szCs w:val="20"/>
              </w:rPr>
              <w:t xml:space="preserve">Taxa de presença nos últimos 30 dias &lt; 50% E mais de 15 dias sem frequência</w:t>
            </w:r>
          </w:p>
        </w:tc>
      </w:tr>
      <w:tr>
        <w:tc>
          <w:tcPr>
            <w:tcW w:type="dxa" w:w="4200"/>
            <w:shd w:fill="F2F2F2" w:color="auto" w:val="clear"/>
            <w:tcMar>
              <w:top w:type="dxa" w:w="80"/>
              <w:left w:type="dxa" w:w="100"/>
              <w:bottom w:type="dxa" w:w="80"/>
              <w:right w:type="dxa" w:w="100"/>
            </w:tcMar>
          </w:tcPr>
          <w:p>
            <w:r>
              <w:rPr>
                <w:b w:val="false"/>
                <w:bCs w:val="false"/>
                <w:sz w:val="20"/>
                <w:szCs w:val="20"/>
              </w:rPr>
              <w:t xml:space="preserve">ATENÇÃO — baixa frequência</w:t>
            </w:r>
          </w:p>
        </w:tc>
        <w:tc>
          <w:tcPr>
            <w:tcW w:type="dxa" w:w="6200"/>
            <w:shd w:fill="F2F2F2" w:color="auto" w:val="clear"/>
            <w:tcMar>
              <w:top w:type="dxa" w:w="80"/>
              <w:left w:type="dxa" w:w="100"/>
              <w:bottom w:type="dxa" w:w="80"/>
              <w:right w:type="dxa" w:w="100"/>
            </w:tcMar>
          </w:tcPr>
          <w:p>
            <w:r>
              <w:rPr>
                <w:b w:val="false"/>
                <w:bCs w:val="false"/>
                <w:sz w:val="20"/>
                <w:szCs w:val="20"/>
              </w:rPr>
              <w:t xml:space="preserve">Taxa de presença nos últimos 30 dias &lt; 50%</w:t>
            </w:r>
          </w:p>
        </w:tc>
      </w:tr>
      <w:tr>
        <w:tc>
          <w:tcPr>
            <w:tcW w:type="dxa" w:w="4200"/>
            <w:tcMar>
              <w:top w:type="dxa" w:w="80"/>
              <w:left w:type="dxa" w:w="100"/>
              <w:bottom w:type="dxa" w:w="80"/>
              <w:right w:type="dxa" w:w="100"/>
            </w:tcMar>
          </w:tcPr>
          <w:p>
            <w:r>
              <w:rPr>
                <w:b w:val="false"/>
                <w:bCs w:val="false"/>
                <w:sz w:val="20"/>
                <w:szCs w:val="20"/>
              </w:rPr>
              <w:t xml:space="preserve">ATENÇÃO — ausência prolongada</w:t>
            </w:r>
          </w:p>
        </w:tc>
        <w:tc>
          <w:tcPr>
            <w:tcW w:type="dxa" w:w="6200"/>
            <w:tcMar>
              <w:top w:type="dxa" w:w="80"/>
              <w:left w:type="dxa" w:w="100"/>
              <w:bottom w:type="dxa" w:w="80"/>
              <w:right w:type="dxa" w:w="100"/>
            </w:tcMar>
          </w:tcPr>
          <w:p>
            <w:r>
              <w:rPr>
                <w:b w:val="false"/>
                <w:bCs w:val="false"/>
                <w:sz w:val="20"/>
                <w:szCs w:val="20"/>
              </w:rPr>
              <w:t xml:space="preserve">Mais de 15 dias sem frequência</w:t>
            </w:r>
          </w:p>
        </w:tc>
      </w:tr>
      <w:tr>
        <w:tc>
          <w:tcPr>
            <w:tcW w:type="dxa" w:w="4200"/>
            <w:shd w:fill="F2F2F2" w:color="auto" w:val="clear"/>
            <w:tcMar>
              <w:top w:type="dxa" w:w="80"/>
              <w:left w:type="dxa" w:w="100"/>
              <w:bottom w:type="dxa" w:w="80"/>
              <w:right w:type="dxa" w:w="100"/>
            </w:tcMar>
          </w:tcPr>
          <w:p>
            <w:r>
              <w:rPr>
                <w:b w:val="false"/>
                <w:bCs w:val="false"/>
                <w:sz w:val="20"/>
                <w:szCs w:val="20"/>
              </w:rPr>
              <w:t xml:space="preserve">BOM — frequência regular</w:t>
            </w:r>
          </w:p>
        </w:tc>
        <w:tc>
          <w:tcPr>
            <w:tcW w:type="dxa" w:w="6200"/>
            <w:shd w:fill="F2F2F2" w:color="auto" w:val="clear"/>
            <w:tcMar>
              <w:top w:type="dxa" w:w="80"/>
              <w:left w:type="dxa" w:w="100"/>
              <w:bottom w:type="dxa" w:w="80"/>
              <w:right w:type="dxa" w:w="100"/>
            </w:tcMar>
          </w:tcPr>
          <w:p>
            <w:r>
              <w:rPr>
                <w:b w:val="false"/>
                <w:bCs w:val="false"/>
                <w:sz w:val="20"/>
                <w:szCs w:val="20"/>
              </w:rPr>
              <w:t xml:space="preserve">Taxa de presença nos últimos 30 dias ≥ 75%</w:t>
            </w:r>
          </w:p>
        </w:tc>
      </w:tr>
      <w:tr>
        <w:tc>
          <w:tcPr>
            <w:tcW w:type="dxa" w:w="4200"/>
            <w:tcMar>
              <w:top w:type="dxa" w:w="80"/>
              <w:left w:type="dxa" w:w="100"/>
              <w:bottom w:type="dxa" w:w="80"/>
              <w:right w:type="dxa" w:w="100"/>
            </w:tcMar>
          </w:tcPr>
          <w:p>
            <w:r>
              <w:rPr>
                <w:b w:val="false"/>
                <w:bCs w:val="false"/>
                <w:sz w:val="20"/>
                <w:szCs w:val="20"/>
              </w:rPr>
              <w:t xml:space="preserve">ATENÇÃO — declínio físico e baixa frequência</w:t>
            </w:r>
          </w:p>
        </w:tc>
        <w:tc>
          <w:tcPr>
            <w:tcW w:type="dxa" w:w="6200"/>
            <w:tcMar>
              <w:top w:type="dxa" w:w="80"/>
              <w:left w:type="dxa" w:w="100"/>
              <w:bottom w:type="dxa" w:w="80"/>
              <w:right w:type="dxa" w:w="100"/>
            </w:tcMar>
          </w:tcPr>
          <w:p>
            <w:r>
              <w:rPr>
                <w:b w:val="false"/>
                <w:bCs w:val="false"/>
                <w:sz w:val="20"/>
                <w:szCs w:val="20"/>
              </w:rPr>
              <w:t xml:space="preserve">Status de evolução = Declínio E taxa de presença 30d &lt; 60%</w:t>
            </w:r>
          </w:p>
        </w:tc>
      </w:tr>
      <w:tr>
        <w:tc>
          <w:tcPr>
            <w:tcW w:type="dxa" w:w="4200"/>
            <w:shd w:fill="F2F2F2" w:color="auto" w:val="clear"/>
            <w:tcMar>
              <w:top w:type="dxa" w:w="80"/>
              <w:left w:type="dxa" w:w="100"/>
              <w:bottom w:type="dxa" w:w="80"/>
              <w:right w:type="dxa" w:w="100"/>
            </w:tcMar>
          </w:tcPr>
          <w:p>
            <w:r>
              <w:rPr>
                <w:b w:val="false"/>
                <w:bCs w:val="false"/>
                <w:sz w:val="20"/>
                <w:szCs w:val="20"/>
              </w:rPr>
              <w:t xml:space="preserve">DESTAQUE — excelente evolução</w:t>
            </w:r>
          </w:p>
        </w:tc>
        <w:tc>
          <w:tcPr>
            <w:tcW w:type="dxa" w:w="6200"/>
            <w:shd w:fill="F2F2F2" w:color="auto" w:val="clear"/>
            <w:tcMar>
              <w:top w:type="dxa" w:w="80"/>
              <w:left w:type="dxa" w:w="100"/>
              <w:bottom w:type="dxa" w:w="80"/>
              <w:right w:type="dxa" w:w="100"/>
            </w:tcMar>
          </w:tcPr>
          <w:p>
            <w:r>
              <w:rPr>
                <w:b w:val="false"/>
                <w:bCs w:val="false"/>
                <w:sz w:val="20"/>
                <w:szCs w:val="20"/>
              </w:rPr>
              <w:t xml:space="preserve">Status de evolução = Melhora significativa</w:t>
            </w:r>
          </w:p>
        </w:tc>
      </w:tr>
      <w:tr>
        <w:tc>
          <w:tcPr>
            <w:tcW w:type="dxa" w:w="4200"/>
            <w:tcMar>
              <w:top w:type="dxa" w:w="80"/>
              <w:left w:type="dxa" w:w="100"/>
              <w:bottom w:type="dxa" w:w="80"/>
              <w:right w:type="dxa" w:w="100"/>
            </w:tcMar>
          </w:tcPr>
          <w:p>
            <w:r>
              <w:rPr>
                <w:b w:val="false"/>
                <w:bCs w:val="false"/>
                <w:sz w:val="20"/>
                <w:szCs w:val="20"/>
              </w:rPr>
              <w:t xml:space="preserve">AGENDAR AVALIAÇÃO</w:t>
            </w:r>
          </w:p>
        </w:tc>
        <w:tc>
          <w:tcPr>
            <w:tcW w:type="dxa" w:w="6200"/>
            <w:tcMar>
              <w:top w:type="dxa" w:w="80"/>
              <w:left w:type="dxa" w:w="100"/>
              <w:bottom w:type="dxa" w:w="80"/>
              <w:right w:type="dxa" w:w="100"/>
            </w:tcMar>
          </w:tcPr>
          <w:p>
            <w:r>
              <w:rPr>
                <w:b w:val="false"/>
                <w:bCs w:val="false"/>
                <w:sz w:val="20"/>
                <w:szCs w:val="20"/>
              </w:rPr>
              <w:t xml:space="preserve">Sem avaliação registrada ou última avaliação há mais de 180 dias</w:t>
            </w:r>
          </w:p>
        </w:tc>
      </w:tr>
      <w:tr>
        <w:tc>
          <w:tcPr>
            <w:tcW w:type="dxa" w:w="4200"/>
            <w:shd w:fill="F2F2F2" w:color="auto" w:val="clear"/>
            <w:tcMar>
              <w:top w:type="dxa" w:w="80"/>
              <w:left w:type="dxa" w:w="100"/>
              <w:bottom w:type="dxa" w:w="80"/>
              <w:right w:type="dxa" w:w="100"/>
            </w:tcMar>
          </w:tcPr>
          <w:p>
            <w:r>
              <w:rPr>
                <w:b w:val="false"/>
                <w:bCs w:val="false"/>
                <w:sz w:val="20"/>
                <w:szCs w:val="20"/>
              </w:rPr>
              <w:t xml:space="preserve">CONTATAR PARTICIPANTE</w:t>
            </w:r>
          </w:p>
        </w:tc>
        <w:tc>
          <w:tcPr>
            <w:tcW w:type="dxa" w:w="6200"/>
            <w:shd w:fill="F2F2F2" w:color="auto" w:val="clear"/>
            <w:tcMar>
              <w:top w:type="dxa" w:w="80"/>
              <w:left w:type="dxa" w:w="100"/>
              <w:bottom w:type="dxa" w:w="80"/>
              <w:right w:type="dxa" w:w="100"/>
            </w:tcMar>
          </w:tcPr>
          <w:p>
            <w:r>
              <w:rPr>
                <w:b w:val="false"/>
                <w:bCs w:val="false"/>
                <w:sz w:val="20"/>
                <w:szCs w:val="20"/>
              </w:rPr>
              <w:t xml:space="preserve">Mais de 30 dias sem frequência</w:t>
            </w:r>
          </w:p>
        </w:tc>
      </w:tr>
      <w:tr>
        <w:tc>
          <w:tcPr>
            <w:tcW w:type="dxa" w:w="4200"/>
            <w:tcMar>
              <w:top w:type="dxa" w:w="80"/>
              <w:left w:type="dxa" w:w="100"/>
              <w:bottom w:type="dxa" w:w="80"/>
              <w:right w:type="dxa" w:w="100"/>
            </w:tcMar>
          </w:tcPr>
          <w:p>
            <w:r>
              <w:rPr>
                <w:b w:val="false"/>
                <w:bCs w:val="false"/>
                <w:sz w:val="20"/>
                <w:szCs w:val="20"/>
              </w:rPr>
              <w:t xml:space="preserve">REVISAR PROGRAMA DE TREINO</w:t>
            </w:r>
          </w:p>
        </w:tc>
        <w:tc>
          <w:tcPr>
            <w:tcW w:type="dxa" w:w="6200"/>
            <w:tcMar>
              <w:top w:type="dxa" w:w="80"/>
              <w:left w:type="dxa" w:w="100"/>
              <w:bottom w:type="dxa" w:w="80"/>
              <w:right w:type="dxa" w:w="100"/>
            </w:tcMar>
          </w:tcPr>
          <w:p>
            <w:r>
              <w:rPr>
                <w:b w:val="false"/>
                <w:bCs w:val="false"/>
                <w:sz w:val="20"/>
                <w:szCs w:val="20"/>
              </w:rPr>
              <w:t xml:space="preserve">Status de evolução física = Declínio</w:t>
            </w:r>
          </w:p>
        </w:tc>
      </w:tr>
      <w:tr>
        <w:tc>
          <w:tcPr>
            <w:tcW w:type="dxa" w:w="4200"/>
            <w:shd w:fill="F2F2F2" w:color="auto" w:val="clear"/>
            <w:tcMar>
              <w:top w:type="dxa" w:w="80"/>
              <w:left w:type="dxa" w:w="100"/>
              <w:bottom w:type="dxa" w:w="80"/>
              <w:right w:type="dxa" w:w="100"/>
            </w:tcMar>
          </w:tcPr>
          <w:p>
            <w:r>
              <w:rPr>
                <w:b w:val="false"/>
                <w:bCs w:val="false"/>
                <w:sz w:val="20"/>
                <w:szCs w:val="20"/>
              </w:rPr>
              <w:t xml:space="preserve">OFERECER ESPECIALIZAÇÃO</w:t>
            </w:r>
          </w:p>
        </w:tc>
        <w:tc>
          <w:tcPr>
            <w:tcW w:type="dxa" w:w="6200"/>
            <w:shd w:fill="F2F2F2" w:color="auto" w:val="clear"/>
            <w:tcMar>
              <w:top w:type="dxa" w:w="80"/>
              <w:left w:type="dxa" w:w="100"/>
              <w:bottom w:type="dxa" w:w="80"/>
              <w:right w:type="dxa" w:w="100"/>
            </w:tcMar>
          </w:tcPr>
          <w:p>
            <w:r>
              <w:rPr>
                <w:b w:val="false"/>
                <w:bCs w:val="false"/>
                <w:sz w:val="20"/>
                <w:szCs w:val="20"/>
              </w:rPr>
              <w:t xml:space="preserve">Sem especialização de leme/tambor e mais de 180 dias no programa</w:t>
            </w:r>
          </w:p>
        </w:tc>
      </w:tr>
    </w:tbl>
    <w:p>
      <w:pPr>
        <w:spacing w:after="160" w:line="276"/>
      </w:pPr>
      <w:r>
        <w:t xml:space="preserve"> </w:t>
      </w:r>
    </w:p>
    <w:p>
      <w:pPr>
        <w:spacing w:after="100"/>
      </w:pPr>
      <w:r>
        <w:rPr>
          <w:b/>
          <w:bCs/>
        </w:rPr>
        <w:t xml:space="preserve">Restrições: </w:t>
      </w:r>
      <w:r>
        <w:t xml:space="preserve">apenas participantes com status Ativa ou Afastada e com inscrição ativa; ordenação padrão prioriza quem precisa de atenção (baixa frequência → ausência prolongada → declínio físico → ordem alfabética).</w:t>
      </w:r>
    </w:p>
    <w:p>
      <w:pPr>
        <w:spacing w:after="100"/>
      </w:pPr>
      <w:r>
        <w:rPr>
          <w:b/>
          <w:bCs/>
        </w:rPr>
        <w:t xml:space="preserve">Exclusão deliberada: </w:t>
      </w:r>
      <w:r>
        <w:t xml:space="preserve">CPF, RG, contatos e endereços não fazem parte desta view — apenas dados necessários à gestão pedagógica.</w:t>
      </w:r>
    </w:p>
    <w:p>
      <w:pPr>
        <w:pStyle w:val="Heading2"/>
        <w:spacing w:after="150" w:before="300"/>
      </w:pPr>
      <w:r>
        <w:t xml:space="preserve">11.5 vw_participantes_ambos_programas</w:t>
      </w:r>
    </w:p>
    <w:p>
      <w:pPr>
        <w:spacing w:after="100"/>
      </w:pPr>
      <w:r>
        <w:rPr>
          <w:b/>
          <w:bCs/>
        </w:rPr>
        <w:t xml:space="preserve">Objetivo: </w:t>
      </w:r>
      <w:r>
        <w:t xml:space="preserve">listar especificamente as participantes inscritas simultaneamente em Remama e OncoFit.</w:t>
      </w:r>
    </w:p>
    <w:p>
      <w:pPr>
        <w:spacing w:after="100"/>
      </w:pPr>
      <w:r>
        <w:rPr>
          <w:b/>
          <w:bCs/>
        </w:rPr>
        <w:t xml:space="preserve">Público-alvo: </w:t>
      </w:r>
      <w:r>
        <w:t xml:space="preserve">coordenadores de programas integrados, equipe de transição entre programas.</w:t>
      </w:r>
    </w:p>
    <w:p>
      <w:pPr>
        <w:spacing w:after="100"/>
      </w:pPr>
      <w:r>
        <w:rPr>
          <w:b/>
          <w:bCs/>
        </w:rPr>
        <w:t xml:space="preserve">Restrição: </w:t>
      </w:r>
      <w:r>
        <w:t xml:space="preserve">apenas participantes com os dois programas ativos ao mesmo tempo, considerando somente inscrições ativas.</w:t>
      </w:r>
    </w:p>
    <w:p>
      <w:pPr>
        <w:pBdr>
          <w:bottom w:val="single" w:color="BFBFBF" w:sz="6" w:space="1"/>
        </w:pBdr>
        <w:spacing w:after="200"/>
      </w:pPr>
    </w:p>
    <w:p>
      <w:pPr>
        <w:pStyle w:val="Heading1"/>
        <w:spacing w:after="200" w:before="400"/>
      </w:pPr>
      <w:r>
        <w:t xml:space="preserve">12. Separação de Acesso: Professor vs. Pesquisador</w:t>
      </w:r>
    </w:p>
    <w:p>
      <w:pPr>
        <w:spacing w:after="160" w:line="276"/>
      </w:pPr>
      <w:r>
        <w:t xml:space="preserve">Um mesmo profissional pode acumular os papéis de professor e pesquisador dentro do Remama. Ainda assim, o desenho das views mantém uma separação funcional clara entre os dois tipos de consulta, motivada pela LGPD (Art. 5º, inciso II, que trata de dado sensível de saúde):</w:t>
      </w:r>
    </w:p>
    <w:p>
      <w:pPr>
        <w:pStyle w:val="ListParagraph"/>
        <w:numPr>
          <w:ilvl w:val="0"/>
          <w:numId w:val="1"/>
        </w:numPr>
        <w:spacing w:after="80"/>
      </w:pPr>
      <w:r>
        <w:t xml:space="preserve">Como pesquisador, o profissional acessa dados médicos e de frequência de forma anonimizada — não sabe quem é a participante por trás de cada registro (vw_pesquisa_anonimizada).</w:t>
      </w:r>
    </w:p>
    <w:p>
      <w:pPr>
        <w:pStyle w:val="ListParagraph"/>
        <w:numPr>
          <w:ilvl w:val="0"/>
          <w:numId w:val="1"/>
        </w:numPr>
        <w:spacing w:after="80"/>
      </w:pPr>
      <w:r>
        <w:t xml:space="preserve">Como professor, o profissional acessa e gerencia dados de frequência e avaliação física com identificação plena da participante — mas sem acesso a dados médicos ou diagnósticos (vw_gestao_professor).</w:t>
      </w:r>
    </w:p>
    <w:p>
      <w:pPr>
        <w:spacing w:after="160" w:line="276"/>
      </w:pPr>
      <w:r>
        <w:t xml:space="preserve">Essa separação por finalidade de uso — e não por pessoa — é o que permite que a mesma pessoa exerça os dois papéis sem que o sistema misture, numa mesma consulta, identidade da participante e dado clínico sensível.</w:t>
      </w:r>
    </w:p>
    <w:p>
      <w:pPr>
        <w:pBdr>
          <w:bottom w:val="single" w:color="BFBFBF" w:sz="6" w:space="1"/>
        </w:pBdr>
        <w:spacing w:after="200"/>
      </w:pPr>
    </w:p>
    <w:p>
      <w:pPr>
        <w:pStyle w:val="Heading1"/>
        <w:spacing w:after="200" w:before="400"/>
      </w:pPr>
      <w:r>
        <w:t xml:space="preserve">13. Resumo das Correções — v1 → v2</w:t>
      </w:r>
    </w:p>
    <w:p>
      <w:pPr>
        <w:spacing w:after="160" w:line="276"/>
      </w:pPr>
      <w:r>
        <w:t xml:space="preserve">Consolidação das mudanças de modelagem realizadas nesta rodada de revisão, a partir de debates internos da equipe de engenharia de dados e do confronto do schema com os dados reais coletados em campo.</w:t>
      </w:r>
    </w:p>
    <w:p>
      <w:pPr>
        <w:pStyle w:val="Heading2"/>
        <w:spacing w:after="150" w:before="300"/>
      </w:pPr>
      <w:r>
        <w:t xml:space="preserve">13.1 Correção de tipo de dado (dado real ≠ schema original)</w:t>
      </w:r>
    </w:p>
    <w:p>
      <w:pPr>
        <w:pStyle w:val="ListParagraph"/>
        <w:numPr>
          <w:ilvl w:val="0"/>
          <w:numId w:val="1"/>
        </w:numPr>
        <w:spacing w:after="80"/>
      </w:pPr>
      <w:r>
        <w:t xml:space="preserve">avaliacao.mmss_ld_kg/mmss_le_kg (DECIMAL) → mmss_ld_reps/mmss_le_reps (INT): a planilha real de testes mostrou que o dado coletado é número de repetições, não peso em quilos.</w:t>
      </w:r>
    </w:p>
    <w:p>
      <w:pPr>
        <w:pStyle w:val="ListParagraph"/>
        <w:numPr>
          <w:ilvl w:val="0"/>
          <w:numId w:val="1"/>
        </w:numPr>
        <w:spacing w:after="80"/>
      </w:pPr>
      <w:r>
        <w:t xml:space="preserve">O campo PSE saiu de registro_frequencia e passou a existir apenas em avaliacao — são dois PSEs conceitualmente diferentes (esforço no treino do dia a dia vs. esforço durante a bateria de testes), e o segundo é o que efetivamente aparece na planilha oficial do Remama.</w:t>
      </w:r>
    </w:p>
    <w:p>
      <w:pPr>
        <w:pStyle w:val="Heading2"/>
        <w:spacing w:after="150" w:before="300"/>
      </w:pPr>
      <w:r>
        <w:t xml:space="preserve">13.2 Padronização (texto livre → domínio fechado)</w:t>
      </w:r>
    </w:p>
    <w:p>
      <w:pPr>
        <w:pStyle w:val="ListParagraph"/>
        <w:numPr>
          <w:ilvl w:val="0"/>
          <w:numId w:val="1"/>
        </w:numPr>
        <w:spacing w:after="80"/>
      </w:pPr>
      <w:r>
        <w:t xml:space="preserve">ficha_medica.tipo_cancer, que era um VARCHAR livre, virou uma tabela tipo_cancer com FK id_tipo_cancer.</w:t>
      </w:r>
    </w:p>
    <w:p>
      <w:pPr>
        <w:pStyle w:val="ListParagraph"/>
        <w:numPr>
          <w:ilvl w:val="0"/>
          <w:numId w:val="1"/>
        </w:numPr>
        <w:spacing w:after="80"/>
      </w:pPr>
      <w:r>
        <w:t xml:space="preserve">CHECKs adicionados em: sexo (F/M), uf (27 estados brasileiros), acao de auditoria (INSERT/UPDATE/DELETE), classificacao_flexibilidade (Excelente/Boa/Regular/Fraca).</w:t>
      </w:r>
    </w:p>
    <w:p>
      <w:pPr>
        <w:pStyle w:val="ListParagraph"/>
        <w:numPr>
          <w:ilvl w:val="0"/>
          <w:numId w:val="1"/>
        </w:numPr>
        <w:spacing w:after="80"/>
      </w:pPr>
      <w:r>
        <w:t xml:space="preserve">Seed cadastrado para todas as tabelas de domínio: status_participante, estado_civil, programa, cargo_participante, status_presenca, funcoes, tipo_comorbidade, tipo_treinamento, nivel_acesso.</w:t>
      </w:r>
    </w:p>
    <w:p>
      <w:pPr>
        <w:pStyle w:val="Heading2"/>
        <w:spacing w:after="150" w:before="300"/>
      </w:pPr>
      <w:r>
        <w:t xml:space="preserve">13.3 Faixas de valor plausíveis (CHECK de range)</w:t>
      </w:r>
    </w:p>
    <w:p>
      <w:pPr>
        <w:pStyle w:val="ListParagraph"/>
        <w:numPr>
          <w:ilvl w:val="0"/>
          <w:numId w:val="1"/>
        </w:numPr>
        <w:spacing w:after="80"/>
      </w:pPr>
      <w:r>
        <w:t xml:space="preserve">pse: 0–10 (Escala de Borg CR-10).</w:t>
      </w:r>
    </w:p>
    <w:p>
      <w:pPr>
        <w:pStyle w:val="ListParagraph"/>
        <w:numPr>
          <w:ilvl w:val="0"/>
          <w:numId w:val="1"/>
        </w:numPr>
        <w:spacing w:after="80"/>
      </w:pPr>
      <w:r>
        <w:t xml:space="preserve">fc_antes / fc_depois: 30–220 bpm.</w:t>
      </w:r>
    </w:p>
    <w:p>
      <w:pPr>
        <w:pStyle w:val="ListParagraph"/>
        <w:numPr>
          <w:ilvl w:val="0"/>
          <w:numId w:val="1"/>
        </w:numPr>
        <w:spacing w:after="80"/>
      </w:pPr>
      <w:r>
        <w:t xml:space="preserve">sentar_levantar_reps / mmss_ld_reps / mmss_le_reps: 0–200.</w:t>
      </w:r>
    </w:p>
    <w:p>
      <w:pPr>
        <w:pStyle w:val="ListParagraph"/>
        <w:numPr>
          <w:ilvl w:val="0"/>
          <w:numId w:val="1"/>
        </w:numPr>
        <w:spacing w:after="80"/>
      </w:pPr>
      <w:r>
        <w:t xml:space="preserve">marcha_passadas: 0–300.</w:t>
      </w:r>
    </w:p>
    <w:p>
      <w:pPr>
        <w:pStyle w:val="Heading2"/>
        <w:spacing w:after="150" w:before="300"/>
      </w:pPr>
      <w:r>
        <w:t xml:space="preserve">13.4 Correção de modelagem relacional (o ponto mais importante desta revisão)</w:t>
      </w:r>
    </w:p>
    <w:p>
      <w:pPr>
        <w:spacing w:after="160" w:line="276"/>
      </w:pPr>
      <w:r>
        <w:t xml:space="preserve">Na v1, a tabela programa incluía um valor 3 = "Ambos". Esse valor colidia com o fato de inscricao_programa já ser, por natureza, uma tabela N:N (uma linha por programa por participante). Manter os dois gerava ambiguidade e quebrava qualquer contagem de "quantos programas ativos" uma participante tinha.</w:t>
      </w:r>
    </w:p>
    <w:p>
      <w:pPr>
        <w:pStyle w:val="ListParagraph"/>
        <w:numPr>
          <w:ilvl w:val="0"/>
          <w:numId w:val="1"/>
        </w:numPr>
        <w:spacing w:after="80"/>
      </w:pPr>
      <w:r>
        <w:t xml:space="preserve">O valor id_programa = 3 ("Ambos") foi removido da tabela programa.</w:t>
      </w:r>
    </w:p>
    <w:p>
      <w:pPr>
        <w:pStyle w:val="ListParagraph"/>
        <w:numPr>
          <w:ilvl w:val="0"/>
          <w:numId w:val="1"/>
        </w:numPr>
        <w:spacing w:after="80"/>
      </w:pPr>
      <w:r>
        <w:t xml:space="preserve">inscricao_programa ganhou CHECK (id_programa IN (1, 2)) para travar essa regra no próprio banco.</w:t>
      </w:r>
    </w:p>
    <w:p>
      <w:pPr>
        <w:pStyle w:val="ListParagraph"/>
        <w:numPr>
          <w:ilvl w:val="0"/>
          <w:numId w:val="1"/>
        </w:numPr>
        <w:spacing w:after="80"/>
      </w:pPr>
      <w:r>
        <w:t xml:space="preserve">Foi definido um script de migração para converter as linhas antigas com id_programa = 3 em duas linhas reais (uma para Remama, outra para OncoFit).</w:t>
      </w:r>
    </w:p>
    <w:p>
      <w:pPr>
        <w:pStyle w:val="Heading2"/>
        <w:spacing w:after="150" w:before="300"/>
      </w:pPr>
      <w:r>
        <w:t xml:space="preserve">13.5 Autenticação e preparação para RLS</w:t>
      </w:r>
    </w:p>
    <w:p>
      <w:pPr>
        <w:pStyle w:val="ListParagraph"/>
        <w:numPr>
          <w:ilvl w:val="0"/>
          <w:numId w:val="1"/>
        </w:numPr>
        <w:spacing w:after="80"/>
      </w:pPr>
      <w:r>
        <w:t xml:space="preserve">funcionarios perdeu a coluna de senha — autenticação passou a ser centralizada em usuario_acesso.</w:t>
      </w:r>
    </w:p>
    <w:p>
      <w:pPr>
        <w:pStyle w:val="ListParagraph"/>
        <w:numPr>
          <w:ilvl w:val="0"/>
          <w:numId w:val="1"/>
        </w:numPr>
        <w:spacing w:after="80"/>
      </w:pPr>
      <w:r>
        <w:t xml:space="preserve">Criadas as tabelas nivel_acesso e usuario_acesso.</w:t>
      </w:r>
    </w:p>
    <w:p>
      <w:pPr>
        <w:pStyle w:val="ListParagraph"/>
        <w:numPr>
          <w:ilvl w:val="0"/>
          <w:numId w:val="1"/>
        </w:numPr>
        <w:spacing w:after="80"/>
      </w:pPr>
      <w:r>
        <w:t xml:space="preserve">Definida a arquitetura de RLS para produção fora do Supabase (SET LOCAL + current_setting(), sem depender de auth.uid()) — a aplicação efetiva do RLS fica para a Fase 2.</w:t>
      </w:r>
    </w:p>
    <w:p>
      <w:pPr>
        <w:pStyle w:val="Heading2"/>
        <w:spacing w:after="150" w:before="300"/>
      </w:pPr>
      <w:r>
        <w:t xml:space="preserve">13.6 Integridade automática</w:t>
      </w:r>
    </w:p>
    <w:p>
      <w:pPr>
        <w:pStyle w:val="ListParagraph"/>
        <w:numPr>
          <w:ilvl w:val="0"/>
          <w:numId w:val="1"/>
        </w:numPr>
        <w:spacing w:after="80"/>
      </w:pPr>
      <w:r>
        <w:t xml:space="preserve">Criada a trigger trg_atualiza_status_participante (detalhada na Seção 10), que mantém participante.id_status sincronizado com inscricao_programa.data_desligamento automaticamente, sem depender do backend lembrar de fazer essa checagem manualmente.</w:t>
      </w:r>
    </w:p>
    <w:p>
      <w:pPr>
        <w:pBdr>
          <w:bottom w:val="single" w:color="BFBFBF" w:sz="6" w:space="1"/>
        </w:pBdr>
        <w:spacing w:after="200"/>
      </w:pPr>
    </w:p>
    <w:p>
      <w:pPr>
        <w:pStyle w:val="Heading1"/>
        <w:spacing w:after="200" w:before="400"/>
      </w:pPr>
      <w:r>
        <w:t xml:space="preserve">14. Proposta de Row Level Security (RLS) — Revisão v2</w:t>
      </w:r>
    </w:p>
    <w:p>
      <w:pPr>
        <w:spacing w:after="160" w:line="276"/>
      </w:pPr>
      <w:r>
        <w:t xml:space="preserve">Após debates internos na equipe de engenharia de dados, a proposta inicial de 5 níveis de RLS (participante, voluntário, professor, pesquisador, administrador) foi revisada para 4 níveis: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7000"/>
      </w:tblGrid>
      <w:tr>
        <w:trPr>
          <w:tblHeader/>
        </w:trPr>
        <w:tc>
          <w:tcPr>
            <w:tcW w:type="dxa" w:w="3400"/>
            <w:shd w:fill="1F3864" w:color="auto" w:val="clear"/>
            <w:tcMar>
              <w:top w:type="dxa" w:w="80"/>
              <w:left w:type="dxa" w:w="100"/>
              <w:bottom w:type="dxa" w:w="80"/>
              <w:right w:type="dxa" w:w="100"/>
            </w:tcMar>
          </w:tcPr>
          <w:p>
            <w:r>
              <w:rPr>
                <w:b/>
                <w:bCs/>
                <w:color w:val="FFFFFF"/>
                <w:sz w:val="20"/>
                <w:szCs w:val="20"/>
              </w:rPr>
              <w:t xml:space="preserve">Nível</w:t>
            </w:r>
          </w:p>
        </w:tc>
        <w:tc>
          <w:tcPr>
            <w:tcW w:type="dxa" w:w="7000"/>
            <w:shd w:fill="1F3864" w:color="auto" w:val="clear"/>
            <w:tcMar>
              <w:top w:type="dxa" w:w="80"/>
              <w:left w:type="dxa" w:w="100"/>
              <w:bottom w:type="dxa" w:w="80"/>
              <w:right w:type="dxa" w:w="100"/>
            </w:tcMar>
          </w:tcPr>
          <w:p>
            <w:r>
              <w:rPr>
                <w:b/>
                <w:bCs/>
                <w:color w:val="FFFFFF"/>
                <w:sz w:val="20"/>
                <w:szCs w:val="20"/>
              </w:rPr>
              <w:t xml:space="preserve">Composição</w:t>
            </w:r>
          </w:p>
        </w:tc>
      </w:tr>
      <w:tr>
        <w:tc>
          <w:tcPr>
            <w:tcW w:type="dxa" w:w="3400"/>
            <w:tcMar>
              <w:top w:type="dxa" w:w="80"/>
              <w:left w:type="dxa" w:w="100"/>
              <w:bottom w:type="dxa" w:w="80"/>
              <w:right w:type="dxa" w:w="100"/>
            </w:tcMar>
          </w:tcPr>
          <w:p>
            <w:r>
              <w:rPr>
                <w:b w:val="false"/>
                <w:bCs w:val="false"/>
                <w:sz w:val="20"/>
                <w:szCs w:val="20"/>
              </w:rPr>
              <w:t xml:space="preserve">Participante</w:t>
            </w:r>
          </w:p>
        </w:tc>
        <w:tc>
          <w:tcPr>
            <w:tcW w:type="dxa" w:w="7000"/>
            <w:tcMar>
              <w:top w:type="dxa" w:w="80"/>
              <w:left w:type="dxa" w:w="100"/>
              <w:bottom w:type="dxa" w:w="80"/>
              <w:right w:type="dxa" w:w="100"/>
            </w:tcMar>
          </w:tcPr>
          <w:p>
            <w:r>
              <w:rPr>
                <w:b w:val="false"/>
                <w:bCs w:val="false"/>
                <w:sz w:val="20"/>
                <w:szCs w:val="20"/>
              </w:rPr>
              <w:t xml:space="preserve">Acesso apenas aos próprios dados</w:t>
            </w:r>
          </w:p>
        </w:tc>
      </w:tr>
      <w:tr>
        <w:tc>
          <w:tcPr>
            <w:tcW w:type="dxa" w:w="3400"/>
            <w:shd w:fill="F2F2F2" w:color="auto" w:val="clear"/>
            <w:tcMar>
              <w:top w:type="dxa" w:w="80"/>
              <w:left w:type="dxa" w:w="100"/>
              <w:bottom w:type="dxa" w:w="80"/>
              <w:right w:type="dxa" w:w="100"/>
            </w:tcMar>
          </w:tcPr>
          <w:p>
            <w:r>
              <w:rPr>
                <w:b w:val="false"/>
                <w:bCs w:val="false"/>
                <w:sz w:val="20"/>
                <w:szCs w:val="20"/>
              </w:rPr>
              <w:t xml:space="preserve">Voluntário / Professor</w:t>
            </w:r>
          </w:p>
        </w:tc>
        <w:tc>
          <w:tcPr>
            <w:tcW w:type="dxa" w:w="7000"/>
            <w:shd w:fill="F2F2F2" w:color="auto" w:val="clear"/>
            <w:tcMar>
              <w:top w:type="dxa" w:w="80"/>
              <w:left w:type="dxa" w:w="100"/>
              <w:bottom w:type="dxa" w:w="80"/>
              <w:right w:type="dxa" w:w="100"/>
            </w:tcMar>
          </w:tcPr>
          <w:p>
            <w:r>
              <w:rPr>
                <w:b w:val="false"/>
                <w:bCs w:val="false"/>
                <w:sz w:val="20"/>
                <w:szCs w:val="20"/>
              </w:rPr>
              <w:t xml:space="preserve">Unificados — entendeu-se que um professor pode ser voluntário e vice-versa</w:t>
            </w:r>
          </w:p>
        </w:tc>
      </w:tr>
      <w:tr>
        <w:tc>
          <w:tcPr>
            <w:tcW w:type="dxa" w:w="3400"/>
            <w:tcMar>
              <w:top w:type="dxa" w:w="80"/>
              <w:left w:type="dxa" w:w="100"/>
              <w:bottom w:type="dxa" w:w="80"/>
              <w:right w:type="dxa" w:w="100"/>
            </w:tcMar>
          </w:tcPr>
          <w:p>
            <w:r>
              <w:rPr>
                <w:b w:val="false"/>
                <w:bCs w:val="false"/>
                <w:sz w:val="20"/>
                <w:szCs w:val="20"/>
              </w:rPr>
              <w:t xml:space="preserve">Pesquisador</w:t>
            </w:r>
          </w:p>
        </w:tc>
        <w:tc>
          <w:tcPr>
            <w:tcW w:type="dxa" w:w="7000"/>
            <w:tcMar>
              <w:top w:type="dxa" w:w="80"/>
              <w:left w:type="dxa" w:w="100"/>
              <w:bottom w:type="dxa" w:w="80"/>
              <w:right w:type="dxa" w:w="100"/>
            </w:tcMar>
          </w:tcPr>
          <w:p>
            <w:r>
              <w:rPr>
                <w:b w:val="false"/>
                <w:bCs w:val="false"/>
                <w:sz w:val="20"/>
                <w:szCs w:val="20"/>
              </w:rPr>
              <w:t xml:space="preserve">Acesso a dados anonimizados (vw_pesquisa_anonimizada)</w:t>
            </w:r>
          </w:p>
        </w:tc>
      </w:tr>
      <w:tr>
        <w:tc>
          <w:tcPr>
            <w:tcW w:type="dxa" w:w="3400"/>
            <w:shd w:fill="F2F2F2" w:color="auto" w:val="clear"/>
            <w:tcMar>
              <w:top w:type="dxa" w:w="80"/>
              <w:left w:type="dxa" w:w="100"/>
              <w:bottom w:type="dxa" w:w="80"/>
              <w:right w:type="dxa" w:w="100"/>
            </w:tcMar>
          </w:tcPr>
          <w:p>
            <w:r>
              <w:rPr>
                <w:b w:val="false"/>
                <w:bCs w:val="false"/>
                <w:sz w:val="20"/>
                <w:szCs w:val="20"/>
              </w:rPr>
              <w:t xml:space="preserve">Administrador</w:t>
            </w:r>
          </w:p>
        </w:tc>
        <w:tc>
          <w:tcPr>
            <w:tcW w:type="dxa" w:w="7000"/>
            <w:shd w:fill="F2F2F2" w:color="auto" w:val="clear"/>
            <w:tcMar>
              <w:top w:type="dxa" w:w="80"/>
              <w:left w:type="dxa" w:w="100"/>
              <w:bottom w:type="dxa" w:w="80"/>
              <w:right w:type="dxa" w:w="100"/>
            </w:tcMar>
          </w:tcPr>
          <w:p>
            <w:r>
              <w:rPr>
                <w:b w:val="false"/>
                <w:bCs w:val="false"/>
                <w:sz w:val="20"/>
                <w:szCs w:val="20"/>
              </w:rPr>
              <w:t xml:space="preserve">Acesso amplo de gestão do sistema</w:t>
            </w:r>
          </w:p>
        </w:tc>
      </w:tr>
    </w:tbl>
    <w:p>
      <w:pPr>
        <w:spacing w:after="160" w:line="276"/>
      </w:pPr>
      <w:r>
        <w:t xml:space="preserve"> </w:t>
      </w:r>
    </w:p>
    <w:p>
      <w:pPr>
        <w:spacing w:after="160" w:line="276"/>
      </w:pPr>
      <w:r>
        <w:rPr>
          <w:i/>
          <w:iCs/>
          <w:color w:val="C00000"/>
        </w:rPr>
        <w:t xml:space="preserve">Importante: esta proposta de 4 níveis parte de um entendimento ainda não validado com a realidade organizacional do Remama — não há, até o momento, uma distinção formal e confirmada dos níveis de hierarquia e acesso da organização. A confirmação desses papéis junto à administração do Remama é pré-requisito para a implementação efetiva do RLS na Fase 2.</w:t>
      </w:r>
    </w:p>
    <w:p>
      <w:pPr>
        <w:spacing w:after="160" w:line="276"/>
      </w:pPr>
      <w:r>
        <w:t xml:space="preserve">Mesmo com o RLS ainda não aplicado tecnicamente (ENABLE ROW LEVEL SECURITY / CREATE POLICY), as views vw_gestao_professor e vw_pesquisa_anonimizada já demonstram, na prática, como essa separação de acesso funcionará — sendo o principal artefato de validação conceitual da estratégia de RLS nesta fase.</w:t>
      </w:r>
    </w:p>
    <w:p>
      <w:pPr>
        <w:pBdr>
          <w:bottom w:val="single" w:color="BFBFBF" w:sz="6" w:space="1"/>
        </w:pBdr>
        <w:spacing w:after="200"/>
      </w:pPr>
    </w:p>
    <w:p>
      <w:pPr>
        <w:pStyle w:val="Heading1"/>
        <w:spacing w:after="200" w:before="400"/>
      </w:pPr>
      <w:r>
        <w:t xml:space="preserve">15. Próximos Passos (Fase 2)</w:t>
      </w:r>
    </w:p>
    <w:p>
      <w:pPr>
        <w:pStyle w:val="ListParagraph"/>
        <w:numPr>
          <w:ilvl w:val="0"/>
          <w:numId w:val="1"/>
        </w:numPr>
        <w:spacing w:after="80"/>
      </w:pPr>
      <w:r>
        <w:t xml:space="preserve">Confirmar com a administração do Remama os papéis reais de acesso da organização, validando (ou revisando) a proposta de 4 níveis de RLS.</w:t>
      </w:r>
    </w:p>
    <w:p>
      <w:pPr>
        <w:pStyle w:val="ListParagraph"/>
        <w:numPr>
          <w:ilvl w:val="0"/>
          <w:numId w:val="1"/>
        </w:numPr>
        <w:spacing w:after="80"/>
      </w:pPr>
      <w:r>
        <w:t xml:space="preserve">Implementar ENABLE ROW LEVEL SECURITY e CREATE POLICY para as tabelas sensíveis, usando a arquitetura já prevista (SET LOCAL + current_setting()).</w:t>
      </w:r>
    </w:p>
    <w:p>
      <w:pPr>
        <w:pStyle w:val="ListParagraph"/>
        <w:numPr>
          <w:ilvl w:val="0"/>
          <w:numId w:val="1"/>
        </w:numPr>
        <w:spacing w:after="80"/>
      </w:pPr>
      <w:r>
        <w:t xml:space="preserve">Reforçar por CHECK ou trigger a regra de que usuario_acesso deve ter exatamente um vínculo preenchido (id_participante OU id_funcionario, nunca os dois nem nenhum).</w:t>
      </w:r>
    </w:p>
    <w:p>
      <w:pPr>
        <w:pStyle w:val="ListParagraph"/>
        <w:numPr>
          <w:ilvl w:val="0"/>
          <w:numId w:val="1"/>
        </w:numPr>
        <w:spacing w:after="80"/>
      </w:pPr>
      <w:r>
        <w:t xml:space="preserve">Validar com a equipe clínica do Remama as listas de referência de tipo_cancer e tipo_comorbidade, hoje cadastradas como sugestão.</w:t>
      </w:r>
    </w:p>
    <w:p>
      <w:pPr>
        <w:pStyle w:val="ListParagraph"/>
        <w:numPr>
          <w:ilvl w:val="0"/>
          <w:numId w:val="1"/>
        </w:numPr>
        <w:spacing w:after="80"/>
      </w:pPr>
      <w:r>
        <w:t xml:space="preserve">Executar o script de migração das inscrições antigas com id_programa = 3 ("Ambos"), convertendo-as em duas linhas reais em inscricao_programa.</w:t>
      </w:r>
    </w:p>
    <w:p>
      <w:pPr>
        <w:pBdr>
          <w:bottom w:val="single" w:color="BFBFBF" w:sz="6" w:space="1"/>
        </w:pBdr>
        <w:spacing w:after="200"/>
      </w:pPr>
    </w:p>
    <w:p>
      <w:pPr>
        <w:pStyle w:val="Heading1"/>
        <w:spacing w:after="200" w:before="400"/>
      </w:pPr>
      <w:r>
        <w:t xml:space="preserve">16. Nota da Equipe de Engenharia de Dados</w:t>
      </w:r>
    </w:p>
    <w:p>
      <w:pPr>
        <w:spacing w:after="160" w:line="276"/>
      </w:pPr>
      <w:r>
        <w:t xml:space="preserve">É fácil, ao olhar rapidamente o diagrama ER, sentir falta de diversos campos que compõem as tabelas que giram em torno de participante — mas não seria prático trazer todas as informações ao diagrama, pois isso prejudicaria a visualização das entidades e relacionamentos. Por isso, a leitura deste documento em conjunto com o DDL comentado é indispensável para o entendimento completo de cada tabela.</w:t>
      </w:r>
    </w:p>
    <w:p>
      <w:pPr>
        <w:spacing w:after="160" w:line="276"/>
      </w:pPr>
      <w:r>
        <w:t xml:space="preserve">Caso a administração do Remama ou demais stakeholders identifiquem a necessidade de mudança nos dados exibidos nas views aqui documentadas, a equipe de engenharia de dados está à disposição para trabalhar em conjunto rumo ao melhor desenvolvimento do projeto.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2026-08-25T17:10:56.106Z</dcterms:created>
  <dcterms:modified xsi:type="dcterms:W3CDTF">2026-08-25T17:10:56.120Z</dcterms:modified>
</cp:coreProperties>
</file>

<file path=docProps/custom.xml><?xml version="1.0" encoding="utf-8"?>
<Properties xmlns="http://schemas.openxmlformats.org/officeDocument/2006/custom-properties" xmlns:vt="http://schemas.openxmlformats.org/officeDocument/2006/docPropsVTypes"/>
</file>