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bookmarkStart w:name="Xa8f17a5d038ba324cdc2082f3870ad73c037bf0" w:id="0"/>
      <w:r>
        <w:rPr>
          <w:rtl w:val="0"/>
          <w:lang w:val="en-US"/>
        </w:rPr>
        <w:t xml:space="preserve">DeftBrain Tool Fitness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Findings &amp; Recommendations</w:t>
      </w:r>
    </w:p>
    <w:p>
      <w:pPr>
        <w:pStyle w:val="First Paragraph"/>
      </w:pPr>
      <w:r>
        <w:rPr>
          <w:b w:val="1"/>
          <w:bCs w:val="1"/>
          <w:rtl w:val="0"/>
          <w:lang w:val="en-US"/>
        </w:rPr>
        <w:t>Date:</w:t>
      </w:r>
      <w:r>
        <w:rPr>
          <w:rtl w:val="0"/>
          <w:lang w:val="en-US"/>
        </w:rPr>
        <w:t xml:space="preserve"> April 23, 2026 </w:t>
      </w:r>
      <w:r>
        <w:rPr>
          <w:b w:val="1"/>
          <w:bCs w:val="1"/>
          <w:rtl w:val="0"/>
          <w:lang w:val="en-US"/>
        </w:rPr>
        <w:t>Exercise:</w:t>
      </w:r>
      <w:r>
        <w:rPr>
          <w:rtl w:val="0"/>
          <w:lang w:val="en-US"/>
        </w:rPr>
        <w:t xml:space="preserve"> SEO-fit triage of all 119 tools in DeftBrain, classifying each as HIGH / MEDIUM / LOW / NONE candidate for the guide-driven acquisition strategy. </w:t>
      </w:r>
      <w:r>
        <w:rPr>
          <w:b w:val="1"/>
          <w:bCs w:val="1"/>
          <w:rtl w:val="0"/>
          <w:lang w:val="en-US"/>
        </w:rPr>
        <w:t>Full classification:</w:t>
      </w:r>
      <w:r>
        <w:rPr>
          <w:rtl w:val="0"/>
          <w:lang w:val="en-US"/>
        </w:rPr>
        <w:t xml:space="preserve"> </w:t>
      </w:r>
      <w:r>
        <w:rPr>
          <w:rStyle w:val="Verbatim Char"/>
          <w:rtl w:val="0"/>
          <w:lang w:val="en-US"/>
        </w:rPr>
        <w:t>DeftBrain_Guide_Strategy.xlsx</w:t>
      </w:r>
      <w:r>
        <w:rPr>
          <w:rtl w:val="0"/>
          <w:lang w:val="en-US"/>
        </w:rPr>
        <w:t xml:space="preserve"> → </w:t>
      </w:r>
      <w:r>
        <w:rPr>
          <w:i w:val="1"/>
          <w:iCs w:val="1"/>
          <w:rtl w:val="0"/>
          <w:lang w:val="en-US"/>
        </w:rPr>
        <w:t>Tool Fitness</w:t>
      </w:r>
      <w:r>
        <w:rPr>
          <w:rtl w:val="0"/>
          <w:lang w:val="en-US"/>
        </w:rPr>
        <w:t xml:space="preserve"> sheet.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End w:id="0"/>
    </w:p>
    <w:p>
      <w:pPr>
        <w:pStyle w:val="Heading 2"/>
      </w:pPr>
      <w:bookmarkStart w:name="headlinenumbers" w:id="1"/>
      <w:r>
        <w:rPr>
          <w:rFonts w:cs="Arial Unicode MS" w:eastAsia="Arial Unicode MS"/>
          <w:rtl w:val="0"/>
          <w:lang w:val="en-US"/>
        </w:rPr>
        <w:t>Headline numbers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~931 estimated queries across 75 tools</w:t>
      </w:r>
      <w:r>
        <w:rPr>
          <w:rtl w:val="0"/>
          <w:lang w:val="en-US"/>
        </w:rPr>
        <w:t xml:space="preserve"> are genuinely SEO-acquirable.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Two-thirds of the suite (63%) is a candidate for the guide strategy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a healthier ratio than typical.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15 tools (13%) carry the bulk of the opportunity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roughly 464 queries concentrated in the top tier.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80"/>
        <w:gridCol w:w="1980"/>
        <w:gridCol w:w="1980"/>
        <w:gridCol w:w="1980"/>
      </w:tblGrid>
      <w:tr>
        <w:tblPrEx>
          <w:shd w:val="clear" w:color="auto" w:fill="4f81bd"/>
        </w:tblPrEx>
        <w:trPr>
          <w:trHeight w:val="560" w:hRule="atLeast"/>
          <w:tblHeader/>
        </w:trPr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Tier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Tools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Est. queries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Share of query opportunity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15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~464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50%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35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~336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36%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~131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14%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NONE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28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  <w:tc>
          <w:tcPr>
            <w:tcW w:type="dxa" w:w="198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0%</w:t>
            </w:r>
          </w:p>
        </w:tc>
      </w:tr>
    </w:tbl>
    <w:p>
      <w:pPr>
        <w:pStyle w:val="Compact"/>
        <w:widowControl w:val="0"/>
        <w:numPr>
          <w:ilvl w:val="0"/>
          <w:numId w:val="2"/>
        </w:numPr>
      </w:pP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68.0pt;height:1.5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End w:id="1"/>
    </w:p>
    <w:p>
      <w:pPr>
        <w:pStyle w:val="Heading 2"/>
      </w:pPr>
      <w:bookmarkStart w:name="progressagainsttheopportunity" w:id="2"/>
      <w:r>
        <w:rPr>
          <w:rFonts w:cs="Arial Unicode MS" w:eastAsia="Arial Unicode MS"/>
          <w:rtl w:val="0"/>
          <w:lang w:val="en-US"/>
        </w:rPr>
        <w:t>Progress against the opportunity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4 of 15 HIGH tools</w:t>
      </w:r>
      <w:r>
        <w:rPr>
          <w:rtl w:val="0"/>
          <w:lang w:val="en-US"/>
        </w:rPr>
        <w:t xml:space="preserve"> have completed discovery (DifficultTalkCoach, UpsellShield, LeaseTrapDetector, DoctorVisitTranslator).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231 queries captured</w:t>
      </w:r>
      <w:r>
        <w:rPr>
          <w:rtl w:val="0"/>
          <w:lang w:val="en-US"/>
        </w:rPr>
        <w:t xml:space="preserve"> in the backlog across those 4 tools.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5 guides shipped</w:t>
      </w:r>
      <w:r>
        <w:rPr>
          <w:rtl w:val="0"/>
          <w:lang w:val="en-US"/>
        </w:rPr>
        <w:t xml:space="preserve"> (all DifficultTalkCoach / boss cluster).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226 candidates remain in queue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~86 of them tagged High-priority.</w:t>
      </w:r>
    </w:p>
    <w:p>
      <w:pPr>
        <w:pStyle w:val="First Paragraph"/>
      </w:pPr>
      <w:r>
        <w:rPr>
          <w:rtl w:val="0"/>
          <w:lang w:val="en-US"/>
        </w:rPr>
        <w:t xml:space="preserve">The remaining 11 HIGH tools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 xml:space="preserve">PlantRescue, PetWeirdnessDecoder, BikeMedic, MarkupDetective, ComplaintEscalationWriter, RentersDepositSaver, RulebookBreaker, SubscriptionGuiltTrip, ConflictCoach, BillRescue, ToastWriter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would add an estimated ~230 more candidates to the backlog if discovery continued.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68.0pt;height:1.5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End w:id="2"/>
    </w:p>
    <w:p>
      <w:pPr>
        <w:pStyle w:val="Heading 2"/>
      </w:pPr>
      <w:bookmarkStart w:name="keyfindings" w:id="3"/>
      <w:r>
        <w:rPr>
          <w:rFonts w:cs="Arial Unicode MS" w:eastAsia="Arial Unicode MS"/>
          <w:rtl w:val="0"/>
          <w:lang w:val="en-US"/>
        </w:rPr>
        <w:t>Key findings</w:t>
      </w:r>
    </w:p>
    <w:p>
      <w:pPr>
        <w:pStyle w:val="First Paragraph"/>
      </w:pPr>
      <w:r>
        <w:rPr>
          <w:b w:val="1"/>
          <w:bCs w:val="1"/>
          <w:rtl w:val="0"/>
          <w:lang w:val="en-US"/>
        </w:rPr>
        <w:t>The suite divides cleanly into two kinds of tools.</w:t>
      </w:r>
      <w:r>
        <w:rPr>
          <w:rtl w:val="0"/>
          <w:lang w:val="en-US"/>
        </w:rPr>
        <w:t xml:space="preserve"> The front-door tools (HIGH/MEDIUM fit) solve real problems people Google in real moments. The depth tools (NONE) solve problems too abstract, too playful, or too self-reflective to be Google-acquired. Both kinds are valuable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but only the first kind drives traffic through SEO guides. The NONE tier isn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t a failure; it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the retention and depth of the suite, accessible via ToolFinder and internal navigation once a user arrives.</w:t>
      </w:r>
    </w:p>
    <w:p>
      <w:pPr>
        <w:pStyle w:val="Body Text"/>
      </w:pPr>
      <w:r>
        <w:rPr>
          <w:b w:val="1"/>
          <w:bCs w:val="1"/>
          <w:rtl w:val="0"/>
          <w:lang w:val="en-US"/>
        </w:rPr>
        <w:t>Three triage issues require resolution before writing overlapping guides:</w:t>
      </w:r>
    </w:p>
    <w:p>
      <w:pPr>
        <w:pStyle w:val="Body"/>
        <w:numPr>
          <w:ilvl w:val="0"/>
          <w:numId w:val="4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SubscriptionGuiltTrip likely owns UpsellShield</w:t>
      </w:r>
      <w:r>
        <w:rPr>
          <w:b w:val="1"/>
          <w:bCs w:val="1"/>
          <w:rtl w:val="1"/>
        </w:rPr>
        <w:t>’</w:t>
      </w:r>
      <w:r>
        <w:rPr>
          <w:b w:val="1"/>
          <w:bCs w:val="1"/>
          <w:rtl w:val="0"/>
          <w:lang w:val="en-US"/>
        </w:rPr>
        <w:t>s Subscriptions cluster.</w:t>
      </w:r>
      <w:r>
        <w:rPr>
          <w:rtl w:val="0"/>
          <w:lang w:val="en-US"/>
        </w:rPr>
        <w:t xml:space="preserve"> Eight queries in the existing backlog probably belong to a tool we hadn</w:t>
      </w:r>
      <w:r>
        <w:rPr>
          <w:rtl w:val="1"/>
        </w:rPr>
        <w:t>’</w:t>
      </w:r>
      <w:r>
        <w:rPr>
          <w:rtl w:val="0"/>
          <w:lang w:val="en-US"/>
        </w:rPr>
        <w:t>t discovered yet. Reassignment is straightforward when SubscriptionGuiltTrip</w:t>
      </w:r>
      <w:r>
        <w:rPr>
          <w:rtl w:val="1"/>
        </w:rPr>
        <w:t>’</w:t>
      </w:r>
      <w:r>
        <w:rPr>
          <w:rtl w:val="0"/>
          <w:lang w:val="en-US"/>
        </w:rPr>
        <w:t>s discovery pass runs.</w:t>
      </w:r>
    </w:p>
    <w:p>
      <w:pPr>
        <w:pStyle w:val="Body"/>
        <w:numPr>
          <w:ilvl w:val="0"/>
          <w:numId w:val="4"/>
        </w:numPr>
        <w:rPr>
          <w:lang w:val="nl-NL"/>
        </w:rPr>
      </w:pPr>
      <w:r>
        <w:rPr>
          <w:b w:val="1"/>
          <w:bCs w:val="1"/>
          <w:rtl w:val="0"/>
          <w:lang w:val="nl-NL"/>
        </w:rPr>
        <w:t>ConflictCoach vs.</w:t>
      </w:r>
      <w:r>
        <w:rPr>
          <w:b w:val="1"/>
          <w:bCs w:val="1"/>
          <w:rtl w:val="0"/>
        </w:rPr>
        <w:t> </w:t>
      </w:r>
      <w:r>
        <w:rPr>
          <w:b w:val="1"/>
          <w:bCs w:val="1"/>
          <w:rtl w:val="0"/>
          <w:lang w:val="en-US"/>
        </w:rPr>
        <w:t>DifficultTalkCoach.</w:t>
      </w:r>
      <w:r>
        <w:rPr>
          <w:rtl w:val="0"/>
          <w:lang w:val="en-US"/>
        </w:rPr>
        <w:t xml:space="preserve"> The 25-query estimate for ConflictCoach is only meaningful if it specializes (e.g., in response-after-the-fact de-escalation, distinct from DTC</w:t>
      </w:r>
      <w:r>
        <w:rPr>
          <w:rtl w:val="1"/>
        </w:rPr>
        <w:t>’</w:t>
      </w:r>
      <w:r>
        <w:rPr>
          <w:rtl w:val="0"/>
          <w:lang w:val="en-US"/>
        </w:rPr>
        <w:t>s initiate-the-conversation scope). Without a clean split, the two tools will produce near-identical guides and cannibalize each other</w:t>
      </w:r>
      <w:r>
        <w:rPr>
          <w:rtl w:val="1"/>
        </w:rPr>
        <w:t>’</w:t>
      </w:r>
      <w:r>
        <w:rPr>
          <w:rtl w:val="0"/>
          <w:lang w:val="en-US"/>
        </w:rPr>
        <w:t>s rankings.</w:t>
      </w:r>
    </w:p>
    <w:p>
      <w:pPr>
        <w:pStyle w:val="Body"/>
        <w:numPr>
          <w:ilvl w:val="0"/>
          <w:numId w:val="4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Four additional pair triages</w:t>
      </w:r>
      <w:r>
        <w:rPr>
          <w:rtl w:val="0"/>
          <w:lang w:val="en-US"/>
        </w:rPr>
        <w:t xml:space="preserve"> affect smaller query shares: JargonAssassin / PlainTalk, ContrastReport / PlotTwist / DecisionCoach, HecklerPrep / TheRunthrough, ProcedureProbe / DoctorVisitTranslator, and RulebookBreaker / ComplaintEscalationWriter / UpsellShield. Each needs a clean scope boundary before multiple guides target the same query.</w:t>
      </w:r>
    </w:p>
    <w:p>
      <w:pPr>
        <w:pStyle w:val="First Paragraph"/>
      </w:pPr>
      <w:r>
        <w:rPr>
          <w:b w:val="1"/>
          <w:bCs w:val="1"/>
          <w:rtl w:val="0"/>
          <w:lang w:val="en-US"/>
        </w:rPr>
        <w:t>Several tools are deceptively low-priority despite seeming promising: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Productivity tools (BatchFlow, BrainDumpBuddy, TaskAvalancheBreaker, FocusPocus, FocusSoundArchitect)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all LOW because productivity SEO is among the most competitive verticals on the web. Even good guides rank poorly.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Cooking tools (MiseEnPlace, Giftology)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recipe-site SEO has been dominated for a decade by Pinterest-optimized content. Difficult to crack.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Fashion (WardrobeChaosHelper)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same dynamic.</w:t>
      </w:r>
    </w:p>
    <w:p>
      <w:pPr>
        <w:pStyle w:val="First Paragraph"/>
      </w:pPr>
      <w:r>
        <w:rPr>
          <w:rtl w:val="0"/>
          <w:lang w:val="en-US"/>
        </w:rPr>
        <w:t>These tools are still valuable inside the suite; they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re just not SEO-acquirable.</w:t>
      </w:r>
    </w:p>
    <w:p>
      <w:pPr>
        <w:pStyle w:val="Body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68.0pt;height:1.5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End w:id="3"/>
      <w:r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Verbatim Char">
    <w:name w:val="Verbatim Char"/>
    <w:rPr>
      <w:rFonts w:ascii="Consolas" w:cs="Consolas" w:hAnsi="Consolas" w:eastAsia="Consolas"/>
      <w:sz w:val="22"/>
      <w:szCs w:val="22"/>
      <w:lang w:val="en-US"/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