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8f17a5d038ba324cdc2082f3870ad73c037bf0"/>
    <w:p>
      <w:pPr>
        <w:pStyle w:val="Heading1"/>
      </w:pPr>
      <w:r>
        <w:t xml:space="preserve">DeftBrain Tool Fitness — Findings &amp; Recommendations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April 23, 2026</w:t>
      </w:r>
      <w:r>
        <w:t xml:space="preserve"> </w:t>
      </w:r>
      <w:r>
        <w:rPr>
          <w:bCs/>
          <w:b/>
        </w:rPr>
        <w:t xml:space="preserve">Exercise:</w:t>
      </w:r>
      <w:r>
        <w:t xml:space="preserve"> </w:t>
      </w:r>
      <w:r>
        <w:t xml:space="preserve">SEO-fit triage of all 119 tools in DeftBrain, classifying each as HIGH / MEDIUM / LOW / NONE candidate for the guide-driven acquisition strategy.</w:t>
      </w:r>
      <w:r>
        <w:t xml:space="preserve"> </w:t>
      </w:r>
      <w:r>
        <w:rPr>
          <w:bCs/>
          <w:b/>
        </w:rPr>
        <w:t xml:space="preserve">Full classification:</w:t>
      </w:r>
      <w:r>
        <w:t xml:space="preserve"> </w:t>
      </w:r>
      <w:r>
        <w:rPr>
          <w:rStyle w:val="VerbatimChar"/>
        </w:rPr>
        <w:t xml:space="preserve">DeftBrain_Guide_Strategy.xlsx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Tool Fitness</w:t>
      </w:r>
      <w:r>
        <w:t xml:space="preserve"> </w:t>
      </w:r>
      <w:r>
        <w:t xml:space="preserve">sheet.</w:t>
      </w:r>
    </w:p>
    <w:p>
      <w:r>
        <w:pict>
          <v:rect style="width:0;height:1.5pt" o:hralign="center" o:hrstd="t" o:hr="t"/>
        </w:pict>
      </w:r>
    </w:p>
    <w:bookmarkStart w:id="20" w:name="headline-numbers"/>
    <w:p>
      <w:pPr>
        <w:pStyle w:val="Heading2"/>
      </w:pPr>
      <w:r>
        <w:t xml:space="preserve">Headline numbers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~931 estimated queries across 75 tools</w:t>
      </w:r>
      <w:r>
        <w:t xml:space="preserve"> </w:t>
      </w:r>
      <w:r>
        <w:t xml:space="preserve">are genuinely SEO-acquirable.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Two-thirds of the suite (63%) is a candidate for the guide strategy</w:t>
      </w:r>
      <w:r>
        <w:t xml:space="preserve"> </w:t>
      </w:r>
      <w:r>
        <w:t xml:space="preserve">— a healthier ratio than typical.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tools (13%) carry the bulk of the opportunity</w:t>
      </w:r>
      <w:r>
        <w:t xml:space="preserve"> </w:t>
      </w:r>
      <w:r>
        <w:t xml:space="preserve">— roughly 464 queries concentrated in the top tier.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query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ogress-against-the-opportunity"/>
    <w:p>
      <w:pPr>
        <w:pStyle w:val="Heading2"/>
      </w:pPr>
      <w:r>
        <w:t xml:space="preserve">Progress against the opportunity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 of 15 HIGH tools</w:t>
      </w:r>
      <w:r>
        <w:t xml:space="preserve"> </w:t>
      </w:r>
      <w:r>
        <w:t xml:space="preserve">have completed discovery (DifficultTalkCoach, UpsellShield, LeaseTrapDetector, DoctorVisitTranslator).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231 queries captured</w:t>
      </w:r>
      <w:r>
        <w:t xml:space="preserve"> </w:t>
      </w:r>
      <w:r>
        <w:t xml:space="preserve">in the backlog across those 4 tools.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 guides shipped</w:t>
      </w:r>
      <w:r>
        <w:t xml:space="preserve"> </w:t>
      </w:r>
      <w:r>
        <w:t xml:space="preserve">(all DifficultTalkCoach / boss cluster).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226 candidates remain in queue</w:t>
      </w:r>
      <w:r>
        <w:t xml:space="preserve"> </w:t>
      </w:r>
      <w:r>
        <w:t xml:space="preserve">— ~86 of them tagged High-priority.</w:t>
      </w:r>
    </w:p>
    <w:p>
      <w:pPr>
        <w:pStyle w:val="FirstParagraph"/>
      </w:pPr>
      <w:r>
        <w:t xml:space="preserve">The remaining 11 HIGH tools — PlantRescue, PetWeirdnessDecoder, BikeMedic, MarkupDetective, ComplaintEscalationWriter, RentersDepositSaver, RulebookBreaker, SubscriptionGuiltTrip, ConflictCoach, BillRescue, ToastWriter — would add an estimated ~230 more candidates to the backlog if discovery continued.</w:t>
      </w:r>
    </w:p>
    <w:p>
      <w:r>
        <w:pict>
          <v:rect style="width:0;height:1.5pt" o:hralign="center" o:hrstd="t" o:hr="t"/>
        </w:pict>
      </w:r>
    </w:p>
    <w:bookmarkEnd w:id="21"/>
    <w:bookmarkStart w:id="22" w:name="key-findings"/>
    <w:p>
      <w:pPr>
        <w:pStyle w:val="Heading2"/>
      </w:pPr>
      <w:r>
        <w:t xml:space="preserve">Key findings</w:t>
      </w:r>
    </w:p>
    <w:p>
      <w:pPr>
        <w:pStyle w:val="FirstParagraph"/>
      </w:pPr>
      <w:r>
        <w:rPr>
          <w:bCs/>
          <w:b/>
        </w:rPr>
        <w:t xml:space="preserve">The suite divides cleanly into two kinds of tools.</w:t>
      </w:r>
      <w:r>
        <w:t xml:space="preserve"> </w:t>
      </w:r>
      <w:r>
        <w:t xml:space="preserve">The front-door tools (HIGH/MEDIUM fit) solve real problems people Google in real moments. The depth tools (NONE) solve problems too abstract, too playful, or too self-reflective to be Google-acquired. Both kinds are valuable — but only the first kind drives traffic through SEO guides. The NONE tier isn’t a failure; it’s the retention and depth of the suite, accessible via ToolFinder and internal navigation once a user arrives.</w:t>
      </w:r>
    </w:p>
    <w:p>
      <w:pPr>
        <w:pStyle w:val="BodyText"/>
      </w:pPr>
      <w:r>
        <w:rPr>
          <w:bCs/>
          <w:b/>
        </w:rPr>
        <w:t xml:space="preserve">Three triage issues require resolution before writing overlapping guides: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SubscriptionGuiltTrip likely owns UpsellShield’s Subscriptions cluster.</w:t>
      </w:r>
      <w:r>
        <w:t xml:space="preserve"> </w:t>
      </w:r>
      <w:r>
        <w:t xml:space="preserve">Eight queries in the existing backlog probably belong to a tool we hadn’t discovered yet. Reassignment is straightforward when SubscriptionGuiltTrip’s discovery pass runs.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ConflictCoach vs. DifficultTalkCoach.</w:t>
      </w:r>
      <w:r>
        <w:t xml:space="preserve"> </w:t>
      </w:r>
      <w:r>
        <w:t xml:space="preserve">The 25-query estimate for ConflictCoach is only meaningful if it specializes (e.g., in response-after-the-fact de-escalation, distinct from DTC’s initiate-the-conversation scope). Without a clean split, the two tools will produce near-identical guides and cannibalize each other’s rankings.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Four additional pair triages</w:t>
      </w:r>
      <w:r>
        <w:t xml:space="preserve"> </w:t>
      </w:r>
      <w:r>
        <w:t xml:space="preserve">affect smaller query shares: JargonAssassin / PlainTalk, ContrastReport / PlotTwist / DecisionCoach, HecklerPrep / TheRunthrough, ProcedureProbe / DoctorVisitTranslator, and RulebookBreaker / ComplaintEscalationWriter / UpsellShield. Each needs a clean scope boundary before multiple guides target the same query.</w:t>
      </w:r>
    </w:p>
    <w:p>
      <w:pPr>
        <w:pStyle w:val="FirstParagraph"/>
      </w:pPr>
      <w:r>
        <w:rPr>
          <w:bCs/>
          <w:b/>
        </w:rPr>
        <w:t xml:space="preserve">Several tools are deceptively low-priority despite seeming promising:</w:t>
      </w:r>
    </w:p>
    <w:p>
      <w:pPr>
        <w:numPr>
          <w:ilvl w:val="0"/>
          <w:numId w:val="1004"/>
        </w:numPr>
        <w:pStyle w:val="Compact"/>
      </w:pPr>
      <w:r>
        <w:t xml:space="preserve">Productivity tools (BatchFlow, BrainDumpBuddy, TaskAvalancheBreaker, FocusPocus, FocusSoundArchitect) — all LOW because productivity SEO is among the most competitive verticals on the web. Even good guides rank poorly.</w:t>
      </w:r>
    </w:p>
    <w:p>
      <w:pPr>
        <w:numPr>
          <w:ilvl w:val="0"/>
          <w:numId w:val="1004"/>
        </w:numPr>
        <w:pStyle w:val="Compact"/>
      </w:pPr>
      <w:r>
        <w:t xml:space="preserve">Cooking tools (MiseEnPlace, Giftology) — recipe-site SEO has been dominated for a decade by Pinterest-optimized content. Difficult to crack.</w:t>
      </w:r>
    </w:p>
    <w:p>
      <w:pPr>
        <w:numPr>
          <w:ilvl w:val="0"/>
          <w:numId w:val="1004"/>
        </w:numPr>
        <w:pStyle w:val="Compact"/>
      </w:pPr>
      <w:r>
        <w:t xml:space="preserve">Fashion (WardrobeChaosHelper) — same dynamic.</w:t>
      </w:r>
    </w:p>
    <w:p>
      <w:pPr>
        <w:pStyle w:val="FirstParagraph"/>
      </w:pPr>
      <w:r>
        <w:t xml:space="preserve">These tools are still valuable inside the suite; they’re just not SEO-acquirable.</w:t>
      </w:r>
    </w:p>
    <w:p>
      <w:r>
        <w:pict>
          <v:rect style="width:0;height:1.5pt" o:hralign="center" o:hrstd="t" o:hr="t"/>
        </w:pict>
      </w:r>
    </w:p>
    <w:bookmarkEnd w:id="22"/>
    <w:bookmarkStart w:id="28" w:name="recommendations"/>
    <w:p>
      <w:pPr>
        <w:pStyle w:val="Heading2"/>
      </w:pPr>
      <w:r>
        <w:t xml:space="preserve">Recommendations</w:t>
      </w:r>
    </w:p>
    <w:bookmarkStart w:id="23" w:name="stop-discovery-for-now."/>
    <w:p>
      <w:pPr>
        <w:pStyle w:val="Heading3"/>
      </w:pPr>
      <w:r>
        <w:t xml:space="preserve">1. Stop discovery for now.</w:t>
      </w:r>
    </w:p>
    <w:p>
      <w:pPr>
        <w:pStyle w:val="FirstParagraph"/>
      </w:pPr>
      <w:r>
        <w:t xml:space="preserve">The backlog already holds 226 candidate queries, 86 of them High-priority. More discovery adds to a list; it doesn’t produce traffic. The constraint that matters is</w:t>
      </w:r>
      <w:r>
        <w:t xml:space="preserve"> </w:t>
      </w:r>
      <w:r>
        <w:rPr>
          <w:iCs/>
          <w:i/>
        </w:rPr>
        <w:t xml:space="preserve">writing speed</w:t>
      </w:r>
      <w:r>
        <w:t xml:space="preserve">, not backlog size.</w:t>
      </w:r>
    </w:p>
    <w:bookmarkEnd w:id="23"/>
    <w:bookmarkStart w:id="24" w:name="X4d85a9a588daaa4b3f5f2541155be11675595cc"/>
    <w:p>
      <w:pPr>
        <w:pStyle w:val="Heading3"/>
      </w:pPr>
      <w:r>
        <w:t xml:space="preserve">2. Start writing the next DifficultTalkCoach cluster.</w:t>
      </w:r>
    </w:p>
    <w:p>
      <w:pPr>
        <w:pStyle w:val="FirstParagraph"/>
      </w:pPr>
      <w:r>
        <w:t xml:space="preserve">The boss cluster has 5 guides shipped and 9 adjacents ready. Write the 4 remaining High-priority boss guides first — raise, burnout, mistake, quitting — because proximity to shipped guides compounds topical authority fastest. Google already sees deftbrain.com as emerging authority on this narrow topic; five more reinforces it.</w:t>
      </w:r>
    </w:p>
    <w:bookmarkEnd w:id="24"/>
    <w:bookmarkStart w:id="25" w:name="Xc753cae536f61e05286bef8606e3211da7e8cdb"/>
    <w:p>
      <w:pPr>
        <w:pStyle w:val="Heading3"/>
      </w:pPr>
      <w:r>
        <w:t xml:space="preserve">3. Resolve the ConflictCoach / DifficultTalkCoach scope question before writing either tool’s next guides.</w:t>
      </w:r>
    </w:p>
    <w:p>
      <w:pPr>
        <w:pStyle w:val="FirstParagraph"/>
      </w:pPr>
      <w:r>
        <w:t xml:space="preserve">If the split is clean (ConflictCoach = response &amp; de-escalation, DTC = initiate difficult conversations), both tools can have distinct guide sets. If the split is muddy, the right move is to consolidate — treat one as the primary SEO target and retire the other’s SEO ambitions.</w:t>
      </w:r>
    </w:p>
    <w:bookmarkEnd w:id="25"/>
    <w:bookmarkStart w:id="26" w:name="X846d0a5c89f815662a1a8546e16b26cb6bdf90f"/>
    <w:p>
      <w:pPr>
        <w:pStyle w:val="Heading3"/>
      </w:pPr>
      <w:r>
        <w:t xml:space="preserve">4. Handle SubscriptionGuiltTrip on its discovery pass.</w:t>
      </w:r>
    </w:p>
    <w:p>
      <w:pPr>
        <w:pStyle w:val="FirstParagraph"/>
      </w:pPr>
      <w:r>
        <w:t xml:space="preserve">Move the 8 UpsellShield Subscriptions-cluster queries to SubscriptionGuiltTrip when its pass runs. Both tools benefit: UpsellShield’s scope tightens to pressure sales proper, SubscriptionGuiltTrip gets its real query surface.</w:t>
      </w:r>
    </w:p>
    <w:bookmarkEnd w:id="26"/>
    <w:bookmarkStart w:id="27" w:name="X90c3fa5f5ed9d2e2b91e67cf66251034d267e96"/>
    <w:p>
      <w:pPr>
        <w:pStyle w:val="Heading3"/>
      </w:pPr>
      <w:r>
        <w:t xml:space="preserve">5. Only resume discovery when writing catches up.</w:t>
      </w:r>
    </w:p>
    <w:p>
      <w:pPr>
        <w:pStyle w:val="FirstParagraph"/>
      </w:pPr>
      <w:r>
        <w:t xml:space="preserve">Once the boss cluster is complete (9 more guides, ~3–4 weeks at a sustainable pace), run one discovery pass to refill the pipeline and start writing again. Interleaved discovery + writing keeps the backlog aligned with reality and prevents it from becoming a cemetery.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iming"/>
    <w:p>
      <w:pPr>
        <w:pStyle w:val="Heading2"/>
      </w:pPr>
      <w:r>
        <w:t xml:space="preserve">Timing</w:t>
      </w:r>
    </w:p>
    <w:p>
      <w:pPr>
        <w:pStyle w:val="FirstParagraph"/>
      </w:pPr>
      <w:r>
        <w:t xml:space="preserve">At one guide per working day — achievable given the style guide and exemplar are in place — the 86 High-priority candidates are roughly four months of writing. That’s a reasonable runway before the next round of discovery is needed. Beyond High-priority, the backlog can sustain another six to nine months of writing without further triage work.</w:t>
      </w:r>
    </w:p>
    <w:p>
      <w:pPr>
        <w:pStyle w:val="BodyText"/>
      </w:pPr>
      <w:r>
        <w:t xml:space="preserve">Nothing in the current state blocks shipping the next guide.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2026-04-24T05:03:14Z</dcterms:created>
  <dcterms:modified xsi:type="dcterms:W3CDTF">2026-04-24T05:03:14Z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