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deftbrain-pre-launch-checklist"/>
    <w:p>
      <w:pPr>
        <w:pStyle w:val="Heading1"/>
      </w:pPr>
      <w:r>
        <w:t xml:space="preserve">DeftBrain Pre-Launch Checklist</w:t>
      </w:r>
    </w:p>
    <w:p>
      <w:pPr>
        <w:pStyle w:val="FirstParagraph"/>
      </w:pPr>
      <w:r>
        <w:rPr>
          <w:bCs/>
          <w:b/>
        </w:rPr>
        <w:t xml:space="preserve">Product:</w:t>
      </w:r>
      <w:r>
        <w:t xml:space="preserve"> </w:t>
      </w:r>
      <w:r>
        <w:t xml:space="preserve">DeftBrain — a suite of 120+ AI-powered specialist tools</w:t>
      </w:r>
      <w:r>
        <w:t xml:space="preserve"> </w:t>
      </w:r>
      <w:r>
        <w:rPr>
          <w:bCs/>
          <w:b/>
        </w:rPr>
        <w:t xml:space="preserve">Domain:</w:t>
      </w:r>
      <w:r>
        <w:t xml:space="preserve"> </w:t>
      </w:r>
      <w:r>
        <w:t xml:space="preserve">deftbrain.com (live)</w:t>
      </w:r>
      <w:r>
        <w:t xml:space="preserve"> </w:t>
      </w:r>
      <w:r>
        <w:rPr>
          <w:bCs/>
          <w:b/>
        </w:rPr>
        <w:t xml:space="preserve">Owner / Developer:</w:t>
      </w:r>
      <w:r>
        <w:t xml:space="preserve"> </w:t>
      </w:r>
      <w:r>
        <w:t xml:space="preserve">Bruce (sole proprietor)</w:t>
      </w:r>
      <w:r>
        <w:t xml:space="preserve"> </w:t>
      </w:r>
      <w:r>
        <w:rPr>
          <w:bCs/>
          <w:b/>
        </w:rPr>
        <w:t xml:space="preserve">Document date:</w:t>
      </w:r>
      <w:r>
        <w:t xml:space="preserve"> </w:t>
      </w:r>
      <w:r>
        <w:t xml:space="preserve">April 23, 2026</w:t>
      </w:r>
      <w:r>
        <w:t xml:space="preserve"> </w:t>
      </w:r>
      <w:r>
        <w:rPr>
          <w:bCs/>
          <w:b/>
        </w:rPr>
        <w:t xml:space="preserve">Document purpose:</w:t>
      </w:r>
      <w:r>
        <w:t xml:space="preserve"> </w:t>
      </w:r>
      <w:r>
        <w:t xml:space="preserve">Pre-launch readiness tracker. Trademark sections (1–2) are intended to be shared with counsel; remaining sections provide context.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DeftBrain is a live, single-operator SaaS product offering 120+ AI-powered specialist tools built on React/Node.js (Express), deployed on Railway with Fastly CDN, and powered by the Anthropic Claude API. The product is currently in pre-launch audit and cleanup. Primary remaining workstreams: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Trademark</w:t>
      </w:r>
      <w:r>
        <w:t xml:space="preserve"> </w:t>
      </w:r>
      <w:r>
        <w:t xml:space="preserve">— USPTO clearance search completed; federal registration filing pending attorney consultation.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Legal infrastructure</w:t>
      </w:r>
      <w:r>
        <w:t xml:space="preserve"> </w:t>
      </w:r>
      <w:r>
        <w:t xml:space="preserve">— Terms of Service, Privacy Policy, and related policies drafted or in draft.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Code compliance</w:t>
      </w:r>
      <w:r>
        <w:t xml:space="preserve"> </w:t>
      </w:r>
      <w:r>
        <w:t xml:space="preserve">— Ongoing reverse-alphabetical tool audit against internal PF-1 through PF-15 compliance rules; approximately 26 tools remaining.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SEO / infrastructure</w:t>
      </w:r>
      <w:r>
        <w:t xml:space="preserve"> </w:t>
      </w:r>
      <w:r>
        <w:t xml:space="preserve">— Google Search Console</w:t>
      </w:r>
      <w:r>
        <w:t xml:space="preserve"> </w:t>
      </w:r>
      <w:r>
        <w:t xml:space="preserve">“</w:t>
      </w:r>
      <w:r>
        <w:t xml:space="preserve">page with redirect</w:t>
      </w:r>
      <w:r>
        <w:t xml:space="preserve">”</w:t>
      </w:r>
      <w:r>
        <w:t xml:space="preserve"> </w:t>
      </w:r>
      <w:r>
        <w:t xml:space="preserve">issues diagnosed and largely resolved; ongoing monitoring.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Launch activities</w:t>
      </w:r>
      <w:r>
        <w:t xml:space="preserve"> </w:t>
      </w:r>
      <w:r>
        <w:t xml:space="preserve">— Marketing and announcement planning.</w:t>
      </w:r>
    </w:p>
    <w:p>
      <w:pPr>
        <w:pStyle w:val="FirstParagraph"/>
      </w:pPr>
      <w:r>
        <w:t xml:space="preserve">Clearance picture is favorable. No direct or phonetic conflicts with</w:t>
      </w:r>
      <w:r>
        <w:t xml:space="preserve"> </w:t>
      </w:r>
      <w:r>
        <w:rPr>
          <w:rStyle w:val="VerbatimChar"/>
        </w:rPr>
        <w:t xml:space="preserve">DEFTBRAIN</w:t>
      </w:r>
      <w:r>
        <w:t xml:space="preserve"> </w:t>
      </w:r>
      <w:r>
        <w:t xml:space="preserve">identified in the USPTO federal register. Crowded-field conditions in the</w:t>
      </w:r>
      <w:r>
        <w:t xml:space="preserve"> </w:t>
      </w:r>
      <w:r>
        <w:rPr>
          <w:rStyle w:val="VerbatimChar"/>
        </w:rPr>
        <w:t xml:space="preserve">*BRAIN</w:t>
      </w:r>
      <w:r>
        <w:t xml:space="preserve"> </w:t>
      </w:r>
      <w:r>
        <w:t xml:space="preserve">AI-software space support registrability of the distinctive</w:t>
      </w:r>
      <w:r>
        <w:t xml:space="preserve"> </w:t>
      </w:r>
      <w:r>
        <w:rPr>
          <w:rStyle w:val="VerbatimChar"/>
        </w:rPr>
        <w:t xml:space="preserve">DEFT</w:t>
      </w:r>
      <w:r>
        <w:t xml:space="preserve"> </w:t>
      </w:r>
      <w:r>
        <w:t xml:space="preserve">modifier.</w:t>
      </w:r>
    </w:p>
    <w:p>
      <w:r>
        <w:pict>
          <v:rect style="width:0;height:1.5pt" o:hralign="center" o:hrstd="t" o:hr="t"/>
        </w:pict>
      </w:r>
    </w:p>
    <w:bookmarkEnd w:id="20"/>
    <w:bookmarkStart w:id="24" w:name="trademark-clearance-summary"/>
    <w:p>
      <w:pPr>
        <w:pStyle w:val="Heading2"/>
      </w:pPr>
      <w:r>
        <w:t xml:space="preserve">1. Trademark Clearance Summary</w:t>
      </w:r>
    </w:p>
    <w:bookmarkStart w:id="21" w:name="X8990accf1fdec312f8cbef30286d306b7481795"/>
    <w:p>
      <w:pPr>
        <w:pStyle w:val="Heading3"/>
      </w:pPr>
      <w:r>
        <w:t xml:space="preserve">1.1 Searches performed (USPTO tmsearch.uspto.gov)</w:t>
      </w:r>
    </w:p>
    <w:p>
      <w:pPr>
        <w:pStyle w:val="FirstParagraph"/>
      </w:pPr>
      <w:r>
        <w:t xml:space="preserve">Eight search tiers were executed. Only the three below returned results; all others returned zero hits.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50"/>
        <w:gridCol w:w="2917"/>
        <w:gridCol w:w="37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CM:*brain AND IC:042 AND GS:"artificial intelligence" AND LD:true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CM:brain* AND IC:042 AND GS:("AI tools" OR "productivity") AND LD:true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GS:("suite of AI tools" OR "AI-powered productivity" OR "artificial intelligence specialist tools") AND IC:042 AND LD:true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</w:tbl>
    <w:p>
      <w:pPr>
        <w:pStyle w:val="BodyText"/>
      </w:pPr>
      <w:r>
        <w:t xml:space="preserve">Zero-result queries (confirming no direct conflicts):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CM:deftbrain AND LD:true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CM:"deft brain" AND LD:true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CM:"deft-brain" AND LD:true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(CM:deftbrain OR CM:"deft brain") AND (IC:009 OR IC:035 OR IC:041 OR IC:042) AND LD:true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CM:deft*brain* AND LD:true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CM:deftbrain* AND LD:true</w:t>
      </w:r>
    </w:p>
    <w:p>
      <w:pPr>
        <w:numPr>
          <w:ilvl w:val="0"/>
          <w:numId w:val="1002"/>
        </w:numPr>
        <w:pStyle w:val="Compact"/>
      </w:pPr>
      <w:r>
        <w:t xml:space="preserve">Phonetic variants (</w:t>
      </w:r>
      <w:r>
        <w:rPr>
          <w:rStyle w:val="VerbatimChar"/>
        </w:rPr>
        <w:t xml:space="preserve">DAFT*</w:t>
      </w:r>
      <w:r>
        <w:t xml:space="preserve">,</w:t>
      </w:r>
      <w:r>
        <w:t xml:space="preserve"> </w:t>
      </w:r>
      <w:r>
        <w:rPr>
          <w:rStyle w:val="VerbatimChar"/>
        </w:rPr>
        <w:t xml:space="preserve">DEPT*</w:t>
      </w:r>
      <w:r>
        <w:t xml:space="preserve">, etc.) combined with</w:t>
      </w:r>
      <w:r>
        <w:t xml:space="preserve"> </w:t>
      </w:r>
      <w:r>
        <w:rPr>
          <w:rStyle w:val="VerbatimChar"/>
        </w:rPr>
        <w:t xml:space="preserve">brain*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(CM:deftbrain OR CM:"deft brain" OR CM:deft*brain*) AND LD:false</w:t>
      </w:r>
      <w:r>
        <w:t xml:space="preserve"> </w:t>
      </w:r>
      <w:r>
        <w:t xml:space="preserve">(dead marks)</w:t>
      </w:r>
    </w:p>
    <w:bookmarkEnd w:id="21"/>
    <w:bookmarkStart w:id="22" w:name="key-findings"/>
    <w:p>
      <w:pPr>
        <w:pStyle w:val="Heading3"/>
      </w:pPr>
      <w:r>
        <w:t xml:space="preserve">1.2 Key findings</w:t>
      </w:r>
    </w:p>
    <w:p>
      <w:pPr>
        <w:pStyle w:val="FirstParagraph"/>
      </w:pPr>
      <w:r>
        <w:rPr>
          <w:bCs/>
          <w:b/>
        </w:rPr>
        <w:t xml:space="preserve">No direct or near-phonetic conflicts.</w:t>
      </w:r>
      <w:r>
        <w:t xml:space="preserve"> </w:t>
      </w:r>
      <w:r>
        <w:t xml:space="preserve">Across 147 results, zero marks contain</w:t>
      </w:r>
      <w:r>
        <w:t xml:space="preserve"> </w:t>
      </w:r>
      <w:r>
        <w:rPr>
          <w:rStyle w:val="VerbatimChar"/>
        </w:rPr>
        <w:t xml:space="preserve">DEFT</w:t>
      </w:r>
      <w:r>
        <w:t xml:space="preserve">. No</w:t>
      </w:r>
      <w:r>
        <w:t xml:space="preserve"> </w:t>
      </w:r>
      <w:r>
        <w:rPr>
          <w:rStyle w:val="VerbatimChar"/>
        </w:rPr>
        <w:t xml:space="preserve">DAFT</w:t>
      </w:r>
      <w:r>
        <w:t xml:space="preserve">,</w:t>
      </w:r>
      <w:r>
        <w:t xml:space="preserve"> </w:t>
      </w:r>
      <w:r>
        <w:rPr>
          <w:rStyle w:val="VerbatimChar"/>
        </w:rPr>
        <w:t xml:space="preserve">DEPT</w:t>
      </w:r>
      <w:r>
        <w:t xml:space="preserve">,</w:t>
      </w:r>
      <w:r>
        <w:t xml:space="preserve"> </w:t>
      </w:r>
      <w:r>
        <w:rPr>
          <w:rStyle w:val="VerbatimChar"/>
        </w:rPr>
        <w:t xml:space="preserve">DEFB</w:t>
      </w:r>
      <w:r>
        <w:t xml:space="preserve">,</w:t>
      </w:r>
      <w:r>
        <w:t xml:space="preserve"> </w:t>
      </w:r>
      <w:r>
        <w:rPr>
          <w:rStyle w:val="VerbatimChar"/>
        </w:rPr>
        <w:t xml:space="preserve">DEPH</w:t>
      </w:r>
      <w:r>
        <w:t xml:space="preserve">, or</w:t>
      </w:r>
      <w:r>
        <w:t xml:space="preserve"> </w:t>
      </w:r>
      <w:r>
        <w:rPr>
          <w:rStyle w:val="VerbatimChar"/>
        </w:rPr>
        <w:t xml:space="preserve">DEFF</w:t>
      </w:r>
      <w:r>
        <w:t xml:space="preserve"> </w:t>
      </w:r>
      <w:r>
        <w:t xml:space="preserve">variants. The</w:t>
      </w:r>
      <w:r>
        <w:t xml:space="preserve"> </w:t>
      </w:r>
      <w:r>
        <w:rPr>
          <w:rStyle w:val="VerbatimChar"/>
        </w:rPr>
        <w:t xml:space="preserve">DEFT</w:t>
      </w:r>
      <w:r>
        <w:t xml:space="preserve"> </w:t>
      </w:r>
      <w:r>
        <w:t xml:space="preserve">modifier is unclaimed in this space.</w:t>
      </w:r>
    </w:p>
    <w:p>
      <w:pPr>
        <w:pStyle w:val="BodyText"/>
      </w:pPr>
      <w:r>
        <w:rPr>
          <w:bCs/>
          <w:b/>
        </w:rPr>
        <w:t xml:space="preserve">Only 5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D*BRAIN</w:t>
      </w:r>
      <w:r>
        <w:rPr>
          <w:bCs/>
          <w:b/>
        </w:rPr>
        <w:t xml:space="preserve"> </w:t>
      </w:r>
      <w:r>
        <w:rPr>
          <w:bCs/>
          <w:b/>
        </w:rPr>
        <w:t xml:space="preserve">marks exist</w:t>
      </w:r>
      <w:r>
        <w:t xml:space="preserve">, all distinguishable:</w:t>
      </w:r>
    </w:p>
    <w:p>
      <w:pPr>
        <w:numPr>
          <w:ilvl w:val="0"/>
          <w:numId w:val="1003"/>
        </w:numPr>
        <w:pStyle w:val="Compact"/>
      </w:pPr>
      <w:r>
        <w:t xml:space="preserve">DECLOAKBRAIN — privacy/encryption software (Taiwan)</w:t>
      </w:r>
    </w:p>
    <w:p>
      <w:pPr>
        <w:numPr>
          <w:ilvl w:val="0"/>
          <w:numId w:val="1003"/>
        </w:numPr>
        <w:pStyle w:val="Compact"/>
      </w:pPr>
      <w:r>
        <w:t xml:space="preserve">DIGITAL BRAIN</w:t>
      </w:r>
    </w:p>
    <w:p>
      <w:pPr>
        <w:numPr>
          <w:ilvl w:val="0"/>
          <w:numId w:val="1003"/>
        </w:numPr>
        <w:pStyle w:val="Compact"/>
      </w:pPr>
      <w:r>
        <w:t xml:space="preserve">DISHBRAIN — lab tech (Germany)</w:t>
      </w:r>
    </w:p>
    <w:p>
      <w:pPr>
        <w:numPr>
          <w:ilvl w:val="0"/>
          <w:numId w:val="1003"/>
        </w:numPr>
        <w:pStyle w:val="Compact"/>
      </w:pPr>
      <w:r>
        <w:t xml:space="preserve">DEALBRAIN — deal management (DoneDeal AI)</w:t>
      </w:r>
    </w:p>
    <w:p>
      <w:pPr>
        <w:numPr>
          <w:ilvl w:val="0"/>
          <w:numId w:val="1003"/>
        </w:numPr>
        <w:pStyle w:val="Compact"/>
      </w:pPr>
      <w:r>
        <w:t xml:space="preserve">DOCBRAIN — document processing (Belgium)</w:t>
      </w:r>
    </w:p>
    <w:p>
      <w:pPr>
        <w:pStyle w:val="FirstParagraph"/>
      </w:pPr>
      <w:r>
        <w:rPr>
          <w:bCs/>
          <w:b/>
        </w:rPr>
        <w:t xml:space="preserve">Crowded-field evidence.</w:t>
      </w:r>
      <w:r>
        <w:t xml:space="preserve"> </w:t>
      </w:r>
      <w:r>
        <w:t xml:space="preserve">133 live</w:t>
      </w:r>
      <w:r>
        <w:t xml:space="preserve"> </w:t>
      </w:r>
      <w:r>
        <w:rPr>
          <w:rStyle w:val="VerbatimChar"/>
        </w:rPr>
        <w:t xml:space="preserve">*BRAIN</w:t>
      </w:r>
      <w:r>
        <w:t xml:space="preserve"> </w:t>
      </w:r>
      <w:r>
        <w:t xml:space="preserve">marks are registered or pending in Class 042 with</w:t>
      </w:r>
      <w:r>
        <w:t xml:space="preserve"> </w:t>
      </w:r>
      <w:r>
        <w:t xml:space="preserve">“</w:t>
      </w:r>
      <w:r>
        <w:t xml:space="preserve">artificial intelligence</w:t>
      </w:r>
      <w:r>
        <w:t xml:space="preserve">”</w:t>
      </w:r>
      <w:r>
        <w:t xml:space="preserve"> </w:t>
      </w:r>
      <w:r>
        <w:t xml:space="preserve">in the goods/services description. Single owners hold large</w:t>
      </w:r>
      <w:r>
        <w:t xml:space="preserve"> </w:t>
      </w:r>
      <w:r>
        <w:rPr>
          <w:rStyle w:val="VerbatimChar"/>
        </w:rPr>
        <w:t xml:space="preserve">*BRAIN</w:t>
      </w:r>
      <w:r>
        <w:t xml:space="preserve"> </w:t>
      </w:r>
      <w:r>
        <w:t xml:space="preserve">portfolios, supporting the argument that the</w:t>
      </w:r>
      <w:r>
        <w:t xml:space="preserve"> </w:t>
      </w:r>
      <w:r>
        <w:rPr>
          <w:rStyle w:val="VerbatimChar"/>
        </w:rPr>
        <w:t xml:space="preserve">BRAIN</w:t>
      </w:r>
      <w:r>
        <w:t xml:space="preserve"> </w:t>
      </w:r>
      <w:r>
        <w:t xml:space="preserve">suffix functions as a weak formative rather than a source identifier:</w:t>
      </w:r>
    </w:p>
    <w:p>
      <w:pPr>
        <w:numPr>
          <w:ilvl w:val="0"/>
          <w:numId w:val="1004"/>
        </w:numPr>
        <w:pStyle w:val="Compact"/>
      </w:pPr>
      <w:r>
        <w:t xml:space="preserve">WPP Properties — 8 parallel marks (WPP BRAND BRAIN, WPP AUDIENCE BRAIN, AUDIENCE BRAIN, PERFORMANCE BRAIN, BRAND BRAIN, WPP PERFORMANCE BRAIN, WPP CHANNEL BRAIN, CHANNEL BRAIN)</w:t>
      </w:r>
    </w:p>
    <w:p>
      <w:pPr>
        <w:numPr>
          <w:ilvl w:val="0"/>
          <w:numId w:val="1004"/>
        </w:numPr>
        <w:pStyle w:val="Compact"/>
      </w:pPr>
      <w:r>
        <w:t xml:space="preserve">Kakao Corp. — 3 marks (BRAINLM, BRAINMM, BRAINIM)</w:t>
      </w:r>
    </w:p>
    <w:p>
      <w:pPr>
        <w:numPr>
          <w:ilvl w:val="0"/>
          <w:numId w:val="1004"/>
        </w:numPr>
        <w:pStyle w:val="Compact"/>
      </w:pPr>
      <w:r>
        <w:t xml:space="preserve">CBRAIN A/S — 3 CBRAIN variants</w:t>
      </w:r>
    </w:p>
    <w:p>
      <w:pPr>
        <w:numPr>
          <w:ilvl w:val="0"/>
          <w:numId w:val="1004"/>
        </w:numPr>
        <w:pStyle w:val="Compact"/>
      </w:pPr>
      <w:r>
        <w:t xml:space="preserve">Mango Technologies (ClickUp) — BRAINGPT, CLICKUP BRAIN, BRAIN MAX</w:t>
      </w:r>
    </w:p>
    <w:p>
      <w:pPr>
        <w:pStyle w:val="FirstParagraph"/>
      </w:pPr>
      <w:r>
        <w:rPr>
          <w:bCs/>
          <w:b/>
        </w:rPr>
        <w:t xml:space="preserve">Filing velocity is increasing.</w:t>
      </w:r>
      <w:r>
        <w:t xml:space="preserve"> </w:t>
      </w:r>
      <w:r>
        <w:t xml:space="preserve">133</w:t>
      </w:r>
      <w:r>
        <w:t xml:space="preserve"> </w:t>
      </w:r>
      <w:r>
        <w:rPr>
          <w:rStyle w:val="VerbatimChar"/>
        </w:rPr>
        <w:t xml:space="preserve">*BRAIN</w:t>
      </w:r>
      <w:r>
        <w:t xml:space="preserve"> </w:t>
      </w:r>
      <w:r>
        <w:t xml:space="preserve">AI marks filed over 2015–2026, with filings approximately doubling year-over-year since 2022 (2023: 19; 2024: 26; 2025: 36; 2026 YTD through April: 17). Argues for filing sooner rather than later.</w:t>
      </w:r>
    </w:p>
    <w:p>
      <w:pPr>
        <w:pStyle w:val="BodyText"/>
      </w:pPr>
      <w:r>
        <w:rPr>
          <w:bCs/>
          <w:b/>
        </w:rPr>
        <w:t xml:space="preserve">Goods/services language precedent.</w:t>
      </w:r>
      <w:r>
        <w:t xml:space="preserve"> </w:t>
      </w:r>
      <w:r>
        <w:t xml:space="preserve">Block 1 contains well-drafted G/S descriptions for AI-productivity software, including Mango Technologies’ (ClickUp) filings for BRAINGPT / CLICKUP BRAIN / BRAIN MAX with carve-out language (</w:t>
      </w:r>
      <w:r>
        <w:t xml:space="preserve">“</w:t>
      </w:r>
      <w:r>
        <w:rPr>
          <w:iCs/>
          <w:i/>
        </w:rPr>
        <w:t xml:space="preserve">none of the foregoing to constitute supply chain management software</w:t>
      </w:r>
      <w:r>
        <w:t xml:space="preserve">”</w:t>
      </w:r>
      <w:r>
        <w:t xml:space="preserve">), which appears to have been added in response to an examiner citation and may serve as useful precedent language.</w:t>
      </w:r>
    </w:p>
    <w:bookmarkEnd w:id="22"/>
    <w:bookmarkStart w:id="23" w:name="scope-limitations-of-this-search"/>
    <w:p>
      <w:pPr>
        <w:pStyle w:val="Heading3"/>
      </w:pPr>
      <w:r>
        <w:t xml:space="preserve">1.3 Scope limitations of this search</w:t>
      </w:r>
    </w:p>
    <w:p>
      <w:pPr>
        <w:numPr>
          <w:ilvl w:val="0"/>
          <w:numId w:val="1005"/>
        </w:numPr>
        <w:pStyle w:val="Compact"/>
      </w:pPr>
      <w:r>
        <w:t xml:space="preserve">Federal register only. No common-law (unregistered use) search was performed.</w:t>
      </w:r>
    </w:p>
    <w:p>
      <w:pPr>
        <w:numPr>
          <w:ilvl w:val="0"/>
          <w:numId w:val="1005"/>
        </w:numPr>
        <w:pStyle w:val="Compact"/>
      </w:pPr>
      <w:r>
        <w:t xml:space="preserve">No state registration search.</w:t>
      </w:r>
    </w:p>
    <w:p>
      <w:pPr>
        <w:numPr>
          <w:ilvl w:val="0"/>
          <w:numId w:val="1005"/>
        </w:numPr>
        <w:pStyle w:val="Compact"/>
      </w:pPr>
      <w:r>
        <w:t xml:space="preserve">No international search beyond what is recorded in USPTO data on foreign applicants.</w:t>
      </w:r>
    </w:p>
    <w:p>
      <w:pPr>
        <w:numPr>
          <w:ilvl w:val="0"/>
          <w:numId w:val="1005"/>
        </w:numPr>
        <w:pStyle w:val="Compact"/>
      </w:pPr>
      <w:r>
        <w:t xml:space="preserve">No domain / social handle search beyond the known</w:t>
      </w:r>
      <w:r>
        <w:t xml:space="preserve"> </w:t>
      </w:r>
      <w:r>
        <w:rPr>
          <w:rStyle w:val="VerbatimChar"/>
        </w:rPr>
        <w:t xml:space="preserve">deftbrain.com</w:t>
      </w:r>
      <w:r>
        <w:t xml:space="preserve"> </w:t>
      </w:r>
      <w:r>
        <w:t xml:space="preserve">ownership.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Xc786eb94c17046d872f7ec0bacc1c3eb5094f84"/>
    <w:p>
      <w:pPr>
        <w:pStyle w:val="Heading2"/>
      </w:pPr>
      <w:r>
        <w:t xml:space="preserve">2. Trademark Filing Plan (For Attorney Review)</w:t>
      </w:r>
    </w:p>
    <w:bookmarkStart w:id="25" w:name="questions-for-counsel"/>
    <w:p>
      <w:pPr>
        <w:pStyle w:val="Heading3"/>
      </w:pPr>
      <w:r>
        <w:t xml:space="preserve">2.1 Questions for counsel</w:t>
      </w:r>
    </w:p>
    <w:p>
      <w:pPr>
        <w:numPr>
          <w:ilvl w:val="0"/>
          <w:numId w:val="1006"/>
        </w:numPr>
        <w:pStyle w:val="Compact"/>
      </w:pPr>
      <w:r>
        <w:t xml:space="preserve">Given the clearance picture above, any registrability concerns the applicant is missing?</w:t>
      </w:r>
    </w:p>
    <w:p>
      <w:pPr>
        <w:numPr>
          <w:ilvl w:val="0"/>
          <w:numId w:val="1006"/>
        </w:numPr>
        <w:pStyle w:val="Compact"/>
      </w:pPr>
      <w:r>
        <w:t xml:space="preserve">Recommended filing classes. Applicant’s working assumption is</w:t>
      </w:r>
      <w:r>
        <w:t xml:space="preserve"> </w:t>
      </w:r>
      <w:r>
        <w:rPr>
          <w:bCs/>
          <w:b/>
        </w:rPr>
        <w:t xml:space="preserve">IC 009</w:t>
      </w:r>
      <w:r>
        <w:t xml:space="preserve"> </w:t>
      </w:r>
      <w:r>
        <w:t xml:space="preserve">(downloadable software components, if any) and</w:t>
      </w:r>
      <w:r>
        <w:t xml:space="preserve"> </w:t>
      </w:r>
      <w:r>
        <w:rPr>
          <w:bCs/>
          <w:b/>
        </w:rPr>
        <w:t xml:space="preserve">IC 042</w:t>
      </w:r>
      <w:r>
        <w:t xml:space="preserve"> </w:t>
      </w:r>
      <w:r>
        <w:t xml:space="preserve">(SaaS), following the Mango Technologies / ClickUp pattern. Class 041 (educational content) may also be warranted given certain tools in the suite.</w:t>
      </w:r>
    </w:p>
    <w:p>
      <w:pPr>
        <w:numPr>
          <w:ilvl w:val="0"/>
          <w:numId w:val="1006"/>
        </w:numPr>
        <w:pStyle w:val="Compact"/>
      </w:pPr>
      <w:r>
        <w:t xml:space="preserve">Recommended filing basis — 1(a) use-in-commerce (DeftBrain is live at deftbrain.com) vs. 1(b) intent-to-use. Applicant’s first-use date is documented.</w:t>
      </w:r>
    </w:p>
    <w:p>
      <w:pPr>
        <w:numPr>
          <w:ilvl w:val="0"/>
          <w:numId w:val="1006"/>
        </w:numPr>
        <w:pStyle w:val="Compact"/>
      </w:pPr>
      <w:r>
        <w:t xml:space="preserve">Standard-character mark vs. stylized/design mark. Both? Which first?</w:t>
      </w:r>
    </w:p>
    <w:p>
      <w:pPr>
        <w:numPr>
          <w:ilvl w:val="0"/>
          <w:numId w:val="1006"/>
        </w:numPr>
        <w:pStyle w:val="Compact"/>
      </w:pPr>
      <w:r>
        <w:t xml:space="preserve">TEAS Plus vs. TEAS Standard for filing.</w:t>
      </w:r>
    </w:p>
    <w:p>
      <w:pPr>
        <w:numPr>
          <w:ilvl w:val="0"/>
          <w:numId w:val="1006"/>
        </w:numPr>
        <w:pStyle w:val="Compact"/>
      </w:pPr>
      <w:r>
        <w:t xml:space="preserve">Any concern re: ClickUp / Mango Technologies as an active prosecutor in adjacent name-space? Risk of opposition?</w:t>
      </w:r>
    </w:p>
    <w:p>
      <w:pPr>
        <w:numPr>
          <w:ilvl w:val="0"/>
          <w:numId w:val="1006"/>
        </w:numPr>
        <w:pStyle w:val="Compact"/>
      </w:pPr>
      <w:r>
        <w:t xml:space="preserve">Is a paid common-law search (Thomson CompuMark, Corsearch) warranted given the clean federal picture and active use?</w:t>
      </w:r>
    </w:p>
    <w:p>
      <w:pPr>
        <w:numPr>
          <w:ilvl w:val="0"/>
          <w:numId w:val="1006"/>
        </w:numPr>
        <w:pStyle w:val="Compact"/>
      </w:pPr>
      <w:r>
        <w:t xml:space="preserve">Counsel’s flat-fee quote for filing (per class) and typical office-action response fee.</w:t>
      </w:r>
    </w:p>
    <w:p>
      <w:pPr>
        <w:numPr>
          <w:ilvl w:val="0"/>
          <w:numId w:val="1006"/>
        </w:numPr>
        <w:pStyle w:val="Compact"/>
      </w:pPr>
      <w:r>
        <w:t xml:space="preserve">If counsel handles filing, expected timeline to registration under normal USPTO pacing.</w:t>
      </w:r>
    </w:p>
    <w:bookmarkEnd w:id="25"/>
    <w:bookmarkStart w:id="26" w:name="materials-the-applicant-can-provide"/>
    <w:p>
      <w:pPr>
        <w:pStyle w:val="Heading3"/>
      </w:pPr>
      <w:r>
        <w:t xml:space="preserve">2.2 Materials the applicant can provide</w:t>
      </w:r>
    </w:p>
    <w:p>
      <w:pPr>
        <w:numPr>
          <w:ilvl w:val="0"/>
          <w:numId w:val="1007"/>
        </w:numPr>
        <w:pStyle w:val="Compact"/>
      </w:pPr>
      <w:r>
        <w:t xml:space="preserve">This document</w:t>
      </w:r>
    </w:p>
    <w:p>
      <w:pPr>
        <w:numPr>
          <w:ilvl w:val="0"/>
          <w:numId w:val="1007"/>
        </w:numPr>
        <w:pStyle w:val="Compact"/>
      </w:pPr>
      <w:r>
        <w:t xml:space="preserve">USPTO search results export (Excel, 147 rows across three search tiers)</w:t>
      </w:r>
    </w:p>
    <w:p>
      <w:pPr>
        <w:numPr>
          <w:ilvl w:val="0"/>
          <w:numId w:val="1007"/>
        </w:numPr>
        <w:pStyle w:val="Compact"/>
      </w:pPr>
      <w:r>
        <w:t xml:space="preserve">Screenshots of deftbrain.com showing the mark in use in connection with the offered AI tools (for 1(a) specimen)</w:t>
      </w:r>
    </w:p>
    <w:p>
      <w:pPr>
        <w:numPr>
          <w:ilvl w:val="0"/>
          <w:numId w:val="1007"/>
        </w:numPr>
        <w:pStyle w:val="Compact"/>
      </w:pPr>
      <w:r>
        <w:t xml:space="preserve">Documented first-use-in-commerce date</w:t>
      </w:r>
    </w:p>
    <w:p>
      <w:pPr>
        <w:numPr>
          <w:ilvl w:val="0"/>
          <w:numId w:val="1007"/>
        </w:numPr>
        <w:pStyle w:val="Compact"/>
      </w:pPr>
      <w:r>
        <w:t xml:space="preserve">List of all 120+ tools with brief descriptions (for G/S drafting)</w:t>
      </w:r>
    </w:p>
    <w:bookmarkEnd w:id="26"/>
    <w:bookmarkStart w:id="27" w:name="X188b08502d4118da3b23781f62f7d80446b0c93"/>
    <w:p>
      <w:pPr>
        <w:pStyle w:val="Heading3"/>
      </w:pPr>
      <w:r>
        <w:t xml:space="preserve">2.3 Applicant’s provisional filing preferences</w:t>
      </w:r>
    </w:p>
    <w:p>
      <w:pPr>
        <w:numPr>
          <w:ilvl w:val="0"/>
          <w:numId w:val="1008"/>
        </w:numPr>
        <w:pStyle w:val="Compact"/>
      </w:pPr>
      <w:r>
        <w:t xml:space="preserve">Single-class filings preferred initially (lower cost, cleaner prosecution); expand later if warranted</w:t>
      </w:r>
    </w:p>
    <w:p>
      <w:pPr>
        <w:numPr>
          <w:ilvl w:val="0"/>
          <w:numId w:val="1008"/>
        </w:numPr>
        <w:pStyle w:val="Compact"/>
      </w:pPr>
      <w:r>
        <w:t xml:space="preserve">Standard-character mark (broadest protection for the word itself)</w:t>
      </w:r>
    </w:p>
    <w:p>
      <w:pPr>
        <w:numPr>
          <w:ilvl w:val="0"/>
          <w:numId w:val="1008"/>
        </w:numPr>
        <w:pStyle w:val="Compact"/>
      </w:pPr>
      <w:r>
        <w:t xml:space="preserve">1(a) filing basis</w:t>
      </w:r>
    </w:p>
    <w:p>
      <w:pPr>
        <w:numPr>
          <w:ilvl w:val="0"/>
          <w:numId w:val="1008"/>
        </w:numPr>
        <w:pStyle w:val="Compact"/>
      </w:pPr>
      <w:r>
        <w:t xml:space="preserve">Willing to hire counsel for the filing itself if flat fee is proportionate to the asset value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other-legal-pre-launch-items"/>
    <w:p>
      <w:pPr>
        <w:pStyle w:val="Heading2"/>
      </w:pPr>
      <w:r>
        <w:t xml:space="preserve">3. Other Legal Pre-Launch Items</w:t>
      </w:r>
    </w:p>
    <w:p>
      <w:pPr>
        <w:pStyle w:val="FirstParagraph"/>
      </w:pPr>
      <w:r>
        <w:t xml:space="preserve">Not for trademark counsel’s review unless separately engaged; included for completeness.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Terms of Service</w:t>
      </w:r>
      <w:r>
        <w:t xml:space="preserve"> </w:t>
      </w:r>
      <w:r>
        <w:t xml:space="preserve">— drafted / reviewed / published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Privacy Policy</w:t>
      </w:r>
      <w:r>
        <w:t xml:space="preserve"> </w:t>
      </w:r>
      <w:r>
        <w:t xml:space="preserve">— drafted / reviewed / published; covers Claude API data handling, cookie usage, analytics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Acceptable Use Policy</w:t>
      </w:r>
      <w:r>
        <w:t xml:space="preserve"> </w:t>
      </w:r>
      <w:r>
        <w:t xml:space="preserve">— covers permitted/prohibited uses of the AI tool suite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DMCA policy &amp; agent designation</w:t>
      </w:r>
      <w:r>
        <w:t xml:space="preserve"> </w:t>
      </w:r>
      <w:r>
        <w:t xml:space="preserve">— filed with US Copyright Office if applicable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Cookie / analytics consent banner</w:t>
      </w:r>
      <w:r>
        <w:t xml:space="preserve"> </w:t>
      </w:r>
      <w:r>
        <w:t xml:space="preserve">— GDPR / CCPA as applicable to user geography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Subscription / billing terms</w:t>
      </w:r>
      <w:r>
        <w:t xml:space="preserve"> </w:t>
      </w:r>
      <w:r>
        <w:t xml:space="preserve">(if paid tiers planned) — refund policy, cancellation, auto-renewal disclosures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Anthropic API Terms of Service compliance</w:t>
      </w:r>
      <w:r>
        <w:t xml:space="preserve"> </w:t>
      </w:r>
      <w:r>
        <w:t xml:space="preserve">— commercial use, rate limits, data handling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Business entity status</w:t>
      </w:r>
      <w:r>
        <w:t xml:space="preserve"> </w:t>
      </w:r>
      <w:r>
        <w:t xml:space="preserve">— sole proprietorship vs. LLC; liability shield consideration before significant user growth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Business insurance</w:t>
      </w:r>
      <w:r>
        <w:t xml:space="preserve"> </w:t>
      </w:r>
      <w:r>
        <w:t xml:space="preserve">— general liability and cyber/technology E&amp;O policies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Email compliance</w:t>
      </w:r>
      <w:r>
        <w:t xml:space="preserve"> </w:t>
      </w:r>
      <w:r>
        <w:t xml:space="preserve">— CAN-SPAM, unsubscribe mechanisms for any marketing email</w:t>
      </w:r>
    </w:p>
    <w:p>
      <w:r>
        <w:pict>
          <v:rect style="width:0;height:1.5pt" o:hralign="center" o:hrstd="t" o:hr="t"/>
        </w:pict>
      </w:r>
    </w:p>
    <w:bookmarkEnd w:id="29"/>
    <w:bookmarkStart w:id="33" w:name="technical-pre-launch-status"/>
    <w:p>
      <w:pPr>
        <w:pStyle w:val="Heading2"/>
      </w:pPr>
      <w:r>
        <w:t xml:space="preserve">4. Technical Pre-Launch Status</w:t>
      </w:r>
    </w:p>
    <w:bookmarkStart w:id="30" w:name="X135e053d2123c1f5852c177a116ad607daf785e"/>
    <w:p>
      <w:pPr>
        <w:pStyle w:val="Heading3"/>
      </w:pPr>
      <w:r>
        <w:t xml:space="preserve">4.1 Code compliance audit (reverse-alphabetical)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Completed tools (recent sessions):</w:t>
      </w:r>
      <w:r>
        <w:t xml:space="preserve"> </w:t>
      </w:r>
      <w:r>
        <w:t xml:space="preserve">CrashPredictor, ContrastReport, ContextCollapse, ConflictCoach, CrisisPrioritizer, CrowdWisdom, DateNight, DebateMe, DecoderRing, DecisionCoach, DifficultTalkCoach, DoctorVisitTranslator, DopamineMenuBuilder → PEP, DriveHome, DreamPatternSpotter, EgoKiller, EmailUrgencyTriager, FakeReviewDetective, FanTheory, GratitudeDebtClearer, GravityWell, HecklerPrep, HistoryToday, HobbyMatch, JargonAssassin, LaundroMat, LeaseTrapDetector, LeverageLogic, LuckSurface, MagicMouth, MarkupDetective, MeetingBSDetector, MeetingHijackPreventer, MicroAdventureMapper, NameStorm, NameThatFeeling, NerveCheck, PartyArchitect, PetWeirdnessDecoder, PlantRescue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Remaining:</w:t>
      </w:r>
      <w:r>
        <w:t xml:space="preserve"> </w:t>
      </w:r>
      <w:r>
        <w:t xml:space="preserve">approximately 26 tools, continuing through</w:t>
      </w:r>
      <w:r>
        <w:t xml:space="preserve"> </w:t>
      </w:r>
      <w:r>
        <w:t xml:space="preserve">“</w:t>
      </w:r>
      <w:r>
        <w:t xml:space="preserve">B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A</w:t>
      </w:r>
      <w:r>
        <w:t xml:space="preserve">”</w:t>
      </w:r>
      <w:r>
        <w:t xml:space="preserve"> </w:t>
      </w:r>
      <w:r>
        <w:t xml:space="preserve">ranges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Audit infrastructure:</w:t>
      </w:r>
      <w:r>
        <w:t xml:space="preserve"> </w:t>
      </w:r>
      <w:r>
        <w:rPr>
          <w:rStyle w:val="VerbatimChar"/>
        </w:rPr>
        <w:t xml:space="preserve">audit_v2-3.py</w:t>
      </w:r>
      <w:r>
        <w:t xml:space="preserve"> </w:t>
      </w:r>
      <w:r>
        <w:t xml:space="preserve">(source of truth),</w:t>
      </w:r>
      <w:r>
        <w:t xml:space="preserve"> </w:t>
      </w:r>
      <w:r>
        <w:rPr>
          <w:rStyle w:val="VerbatimChar"/>
        </w:rPr>
        <w:t xml:space="preserve">CONVENTIONS.md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COMPLIANCE_PROMPT.md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tool-audit-checklist-v4_36.md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Compliance rules:</w:t>
      </w:r>
      <w:r>
        <w:t xml:space="preserve"> </w:t>
      </w:r>
      <w:r>
        <w:t xml:space="preserve">PF-1 through PF-15 enforced per tool</w:t>
      </w:r>
    </w:p>
    <w:bookmarkEnd w:id="30"/>
    <w:bookmarkStart w:id="31" w:name="infrastructure"/>
    <w:p>
      <w:pPr>
        <w:pStyle w:val="Heading3"/>
      </w:pPr>
      <w:r>
        <w:t xml:space="preserve">4.2 Infrastructure</w:t>
      </w:r>
    </w:p>
    <w:p>
      <w:pPr>
        <w:numPr>
          <w:ilvl w:val="0"/>
          <w:numId w:val="1011"/>
        </w:numPr>
        <w:pStyle w:val="Compact"/>
      </w:pPr>
      <w:r>
        <w:t xml:space="preserve">☒ HTTPS / www / trailing-slash canonicalization in</w:t>
      </w:r>
      <w:r>
        <w:t xml:space="preserve"> </w:t>
      </w:r>
      <w:r>
        <w:rPr>
          <w:rStyle w:val="VerbatimChar"/>
        </w:rPr>
        <w:t xml:space="preserve">server.js</w:t>
      </w:r>
    </w:p>
    <w:p>
      <w:pPr>
        <w:numPr>
          <w:ilvl w:val="0"/>
          <w:numId w:val="1011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Cache-Control: no-store</w:t>
      </w:r>
      <w:r>
        <w:t xml:space="preserve"> </w:t>
      </w:r>
      <w:r>
        <w:t xml:space="preserve">on 301 redirects (Fastly CDN)</w:t>
      </w:r>
    </w:p>
    <w:p>
      <w:pPr>
        <w:numPr>
          <w:ilvl w:val="0"/>
          <w:numId w:val="1011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RETIRED_SLUGS</w:t>
      </w:r>
      <w:r>
        <w:t xml:space="preserve"> </w:t>
      </w:r>
      <w:r>
        <w:t xml:space="preserve">array returning HTTP 410 for deprecated tools</w:t>
      </w:r>
    </w:p>
    <w:p>
      <w:pPr>
        <w:numPr>
          <w:ilvl w:val="0"/>
          <w:numId w:val="1011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LEGACY_REDIRECTS</w:t>
      </w:r>
      <w:r>
        <w:t xml:space="preserve"> </w:t>
      </w:r>
      <w:r>
        <w:t xml:space="preserve">for renamed tools (e.g., SayItRight → PronounceItRight)</w:t>
      </w:r>
    </w:p>
    <w:p>
      <w:pPr>
        <w:numPr>
          <w:ilvl w:val="0"/>
          <w:numId w:val="1011"/>
        </w:numPr>
        <w:pStyle w:val="Compact"/>
      </w:pPr>
      <w:r>
        <w:t xml:space="preserve">☒ Case-sensitivity routing via hardcoded</w:t>
      </w:r>
      <w:r>
        <w:t xml:space="preserve"> </w:t>
      </w:r>
      <w:r>
        <w:rPr>
          <w:rStyle w:val="VerbatimChar"/>
        </w:rPr>
        <w:t xml:space="preserve">TOOL_IDS</w:t>
      </w:r>
      <w:r>
        <w:t xml:space="preserve"> </w:t>
      </w:r>
      <w:r>
        <w:t xml:space="preserve">array</w:t>
      </w:r>
    </w:p>
    <w:p>
      <w:pPr>
        <w:numPr>
          <w:ilvl w:val="0"/>
          <w:numId w:val="1011"/>
        </w:numPr>
        <w:pStyle w:val="Compact"/>
      </w:pPr>
      <w:r>
        <w:t xml:space="preserve">☒ Flat prerendered output (no nested directory duplicates)</w:t>
      </w:r>
    </w:p>
    <w:p>
      <w:pPr>
        <w:numPr>
          <w:ilvl w:val="0"/>
          <w:numId w:val="1011"/>
        </w:numPr>
        <w:pStyle w:val="Compact"/>
      </w:pPr>
      <w:r>
        <w:t xml:space="preserve">☐ Final site-wide grep audit for stale relative / kebab-case cross-reference hrefs</w:t>
      </w:r>
    </w:p>
    <w:p>
      <w:pPr>
        <w:numPr>
          <w:ilvl w:val="0"/>
          <w:numId w:val="1011"/>
        </w:numPr>
        <w:pStyle w:val="Compact"/>
      </w:pPr>
      <w:r>
        <w:t xml:space="preserve">☐ Load testing under concurrent users</w:t>
      </w:r>
    </w:p>
    <w:p>
      <w:pPr>
        <w:numPr>
          <w:ilvl w:val="0"/>
          <w:numId w:val="1011"/>
        </w:numPr>
        <w:pStyle w:val="Compact"/>
      </w:pPr>
      <w:r>
        <w:t xml:space="preserve">☐ Error monitoring / observability in place</w:t>
      </w:r>
    </w:p>
    <w:p>
      <w:pPr>
        <w:numPr>
          <w:ilvl w:val="0"/>
          <w:numId w:val="1011"/>
        </w:numPr>
        <w:pStyle w:val="Compact"/>
      </w:pPr>
      <w:r>
        <w:t xml:space="preserve">☐ Backup and disaster recovery procedure documented</w:t>
      </w:r>
    </w:p>
    <w:bookmarkEnd w:id="31"/>
    <w:bookmarkStart w:id="32" w:name="seo"/>
    <w:p>
      <w:pPr>
        <w:pStyle w:val="Heading3"/>
      </w:pPr>
      <w:r>
        <w:t xml:space="preserve">4.3 SEO</w:t>
      </w:r>
    </w:p>
    <w:p>
      <w:pPr>
        <w:numPr>
          <w:ilvl w:val="0"/>
          <w:numId w:val="1012"/>
        </w:numPr>
        <w:pStyle w:val="Compact"/>
      </w:pPr>
      <w:r>
        <w:t xml:space="preserve">☒ Google Search Console</w:t>
      </w:r>
      <w:r>
        <w:t xml:space="preserve"> </w:t>
      </w:r>
      <w:r>
        <w:t xml:space="preserve">“</w:t>
      </w:r>
      <w:r>
        <w:t xml:space="preserve">page with redirect</w:t>
      </w:r>
      <w:r>
        <w:t xml:space="preserve">”</w:t>
      </w:r>
      <w:r>
        <w:t xml:space="preserve"> </w:t>
      </w:r>
      <w:r>
        <w:t xml:space="preserve">root causes diagnosed and fixed</w:t>
      </w:r>
    </w:p>
    <w:p>
      <w:pPr>
        <w:numPr>
          <w:ilvl w:val="0"/>
          <w:numId w:val="1012"/>
        </w:numPr>
        <w:pStyle w:val="Compact"/>
      </w:pPr>
      <w:r>
        <w:t xml:space="preserve">☒ Sitemap generated from</w:t>
      </w:r>
      <w:r>
        <w:t xml:space="preserve"> </w:t>
      </w:r>
      <w:r>
        <w:rPr>
          <w:rStyle w:val="VerbatimChar"/>
        </w:rPr>
        <w:t xml:space="preserve">tools.js</w:t>
      </w:r>
    </w:p>
    <w:p>
      <w:pPr>
        <w:numPr>
          <w:ilvl w:val="0"/>
          <w:numId w:val="1012"/>
        </w:numPr>
        <w:pStyle w:val="Compact"/>
      </w:pPr>
      <w:r>
        <w:t xml:space="preserve">☒ Canonical URL strategy (lowercase → PascalCase 301)</w:t>
      </w:r>
    </w:p>
    <w:p>
      <w:pPr>
        <w:numPr>
          <w:ilvl w:val="0"/>
          <w:numId w:val="1012"/>
        </w:numPr>
        <w:pStyle w:val="Compact"/>
      </w:pPr>
      <w:r>
        <w:t xml:space="preserve">☐ GSC re-validation confirmation across all affected URLs</w:t>
      </w:r>
    </w:p>
    <w:p>
      <w:pPr>
        <w:numPr>
          <w:ilvl w:val="0"/>
          <w:numId w:val="1012"/>
        </w:numPr>
        <w:pStyle w:val="Compact"/>
      </w:pPr>
      <w:r>
        <w:t xml:space="preserve">☐ Core Web Vitals review</w:t>
      </w:r>
    </w:p>
    <w:p>
      <w:pPr>
        <w:numPr>
          <w:ilvl w:val="0"/>
          <w:numId w:val="1012"/>
        </w:numPr>
        <w:pStyle w:val="Compact"/>
      </w:pPr>
      <w:r>
        <w:t xml:space="preserve">☐ Structured data / schema.org markup on tool pages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marketing-launch-activities"/>
    <w:p>
      <w:pPr>
        <w:pStyle w:val="Heading2"/>
      </w:pPr>
      <w:r>
        <w:t xml:space="preserve">5. Marketing &amp; Launch Activities</w:t>
      </w:r>
    </w:p>
    <w:p>
      <w:pPr>
        <w:numPr>
          <w:ilvl w:val="0"/>
          <w:numId w:val="1013"/>
        </w:numPr>
        <w:pStyle w:val="Compact"/>
      </w:pPr>
      <w:r>
        <w:t xml:space="preserve">☐ Launch announcement plan (channels: Product Hunt, Hacker News, X/Twitter, LinkedIn, targeted newsletters)</w:t>
      </w:r>
    </w:p>
    <w:p>
      <w:pPr>
        <w:numPr>
          <w:ilvl w:val="0"/>
          <w:numId w:val="1013"/>
        </w:numPr>
        <w:pStyle w:val="Compact"/>
      </w:pPr>
      <w:r>
        <w:t xml:space="preserve">☐ Landing page optimized for top-of-funnel conversion</w:t>
      </w:r>
    </w:p>
    <w:p>
      <w:pPr>
        <w:numPr>
          <w:ilvl w:val="0"/>
          <w:numId w:val="1013"/>
        </w:numPr>
        <w:pStyle w:val="Compact"/>
      </w:pPr>
      <w:r>
        <w:t xml:space="preserve">☐ Demo video or walk-through content</w:t>
      </w:r>
    </w:p>
    <w:p>
      <w:pPr>
        <w:numPr>
          <w:ilvl w:val="0"/>
          <w:numId w:val="1013"/>
        </w:numPr>
        <w:pStyle w:val="Compact"/>
      </w:pPr>
      <w:r>
        <w:t xml:space="preserve">☐ Press/media outreach list</w:t>
      </w:r>
    </w:p>
    <w:p>
      <w:pPr>
        <w:numPr>
          <w:ilvl w:val="0"/>
          <w:numId w:val="1013"/>
        </w:numPr>
        <w:pStyle w:val="Compact"/>
      </w:pPr>
      <w:r>
        <w:t xml:space="preserve">☐ Onboarding flow for new users</w:t>
      </w:r>
    </w:p>
    <w:p>
      <w:pPr>
        <w:numPr>
          <w:ilvl w:val="0"/>
          <w:numId w:val="1013"/>
        </w:numPr>
        <w:pStyle w:val="Compact"/>
      </w:pPr>
      <w:r>
        <w:t xml:space="preserve">☐ Analytics and attribution in place (GA4, Plausible, or similar)</w:t>
      </w:r>
    </w:p>
    <w:p>
      <w:pPr>
        <w:numPr>
          <w:ilvl w:val="0"/>
          <w:numId w:val="1013"/>
        </w:numPr>
        <w:pStyle w:val="Compact"/>
      </w:pPr>
      <w:r>
        <w:t xml:space="preserve">☐ Feedback collection mechanism (in-app, email, or form)</w:t>
      </w:r>
    </w:p>
    <w:p>
      <w:pPr>
        <w:numPr>
          <w:ilvl w:val="0"/>
          <w:numId w:val="1013"/>
        </w:numPr>
        <w:pStyle w:val="Compact"/>
      </w:pPr>
      <w:r>
        <w:t xml:space="preserve">☐ Social proof (testimonials, early-user quotes) where available</w:t>
      </w:r>
    </w:p>
    <w:p>
      <w:pPr>
        <w:numPr>
          <w:ilvl w:val="0"/>
          <w:numId w:val="1013"/>
        </w:numPr>
        <w:pStyle w:val="Compact"/>
      </w:pPr>
      <w:r>
        <w:t xml:space="preserve">☐ Founder bio / about page</w:t>
      </w:r>
    </w:p>
    <w:p>
      <w:pPr>
        <w:numPr>
          <w:ilvl w:val="0"/>
          <w:numId w:val="1013"/>
        </w:numPr>
        <w:pStyle w:val="Compact"/>
      </w:pPr>
      <w:r>
        <w:t xml:space="preserve">☐ Contact / support channel established</w:t>
      </w:r>
    </w:p>
    <w:p>
      <w:r>
        <w:pict>
          <v:rect style="width:0;height:1.5pt" o:hralign="center" o:hrstd="t" o:hr="t"/>
        </w:pict>
      </w:r>
    </w:p>
    <w:bookmarkEnd w:id="34"/>
    <w:bookmarkStart w:id="35" w:name="appendix-a-full-uspto-query-set-used"/>
    <w:p>
      <w:pPr>
        <w:pStyle w:val="Heading2"/>
      </w:pPr>
      <w:r>
        <w:t xml:space="preserve">Appendix A: Full USPTO Query Set Used</w:t>
      </w:r>
    </w:p>
    <w:p>
      <w:pPr>
        <w:pStyle w:val="FirstParagraph"/>
      </w:pPr>
      <w:r>
        <w:rPr>
          <w:bCs/>
          <w:b/>
        </w:rPr>
        <w:t xml:space="preserve">Tier 1 — Direct hits</w:t>
      </w:r>
      <w:r>
        <w:t xml:space="preserve"> </w:t>
      </w:r>
      <w:r>
        <w:t xml:space="preserve">(all zero results):</w:t>
      </w:r>
    </w:p>
    <w:p>
      <w:pPr>
        <w:pStyle w:val="SourceCode"/>
      </w:pPr>
      <w:r>
        <w:rPr>
          <w:rStyle w:val="VerbatimChar"/>
        </w:rPr>
        <w:t xml:space="preserve">CM:deftbrain AND LD:true</w:t>
      </w:r>
      <w:r>
        <w:br/>
      </w:r>
      <w:r>
        <w:rPr>
          <w:rStyle w:val="VerbatimChar"/>
        </w:rPr>
        <w:t xml:space="preserve">CM:"deft brain" AND LD:true</w:t>
      </w:r>
      <w:r>
        <w:br/>
      </w:r>
      <w:r>
        <w:rPr>
          <w:rStyle w:val="VerbatimChar"/>
        </w:rPr>
        <w:t xml:space="preserve">CM:"deft-brain" AND LD:true</w:t>
      </w:r>
    </w:p>
    <w:p>
      <w:pPr>
        <w:pStyle w:val="FirstParagraph"/>
      </w:pPr>
      <w:r>
        <w:rPr>
          <w:bCs/>
          <w:b/>
        </w:rPr>
        <w:t xml:space="preserve">Tier 2 — Same name, relevant classes</w:t>
      </w:r>
      <w:r>
        <w:t xml:space="preserve"> </w:t>
      </w:r>
      <w:r>
        <w:t xml:space="preserve">(zero results):</w:t>
      </w:r>
    </w:p>
    <w:p>
      <w:pPr>
        <w:pStyle w:val="SourceCode"/>
      </w:pPr>
      <w:r>
        <w:rPr>
          <w:rStyle w:val="VerbatimChar"/>
        </w:rPr>
        <w:t xml:space="preserve">(CM:deftbrain OR CM:"deft brain") AND (IC:009 OR IC:035 OR IC:041 OR IC:042) AND LD:true</w:t>
      </w:r>
    </w:p>
    <w:p>
      <w:pPr>
        <w:pStyle w:val="FirstParagraph"/>
      </w:pPr>
      <w:r>
        <w:rPr>
          <w:bCs/>
          <w:b/>
        </w:rPr>
        <w:t xml:space="preserve">Tier 3 — Near-variants</w:t>
      </w:r>
      <w:r>
        <w:t xml:space="preserve"> </w:t>
      </w:r>
      <w:r>
        <w:t xml:space="preserve">(zero results):</w:t>
      </w:r>
    </w:p>
    <w:p>
      <w:pPr>
        <w:pStyle w:val="SourceCode"/>
      </w:pPr>
      <w:r>
        <w:rPr>
          <w:rStyle w:val="VerbatimChar"/>
        </w:rPr>
        <w:t xml:space="preserve">CM:deft*brain* AND LD:true</w:t>
      </w:r>
      <w:r>
        <w:br/>
      </w:r>
      <w:r>
        <w:rPr>
          <w:rStyle w:val="VerbatimChar"/>
        </w:rPr>
        <w:t xml:space="preserve">CM:deftbrain* AND LD:true</w:t>
      </w:r>
      <w:r>
        <w:br/>
      </w:r>
      <w:r>
        <w:rPr>
          <w:rStyle w:val="VerbatimChar"/>
        </w:rPr>
        <w:t xml:space="preserve">(CM:deft* AND CM:*brain*) AND (IC:009 OR IC:041 OR IC:042) AND LD:true</w:t>
      </w:r>
    </w:p>
    <w:p>
      <w:pPr>
        <w:pStyle w:val="FirstParagraph"/>
      </w:pPr>
      <w:r>
        <w:rPr>
          <w:bCs/>
          <w:b/>
        </w:rPr>
        <w:t xml:space="preserve">Tier 4 — Phonetic equivalents</w:t>
      </w:r>
      <w:r>
        <w:t xml:space="preserve"> </w:t>
      </w:r>
      <w:r>
        <w:t xml:space="preserve">(zero results):</w:t>
      </w:r>
    </w:p>
    <w:p>
      <w:pPr>
        <w:pStyle w:val="SourceCode"/>
      </w:pPr>
      <w:r>
        <w:rPr>
          <w:rStyle w:val="VerbatimChar"/>
        </w:rPr>
        <w:t xml:space="preserve">CM:(deft* OR deffed* OR deaft*) AND CM:(brain* OR brane* OR brayn*) AND (IC:009 OR IC:041 OR IC:042) AND LD:true</w:t>
      </w:r>
    </w:p>
    <w:p>
      <w:pPr>
        <w:pStyle w:val="FirstParagraph"/>
      </w:pPr>
      <w:r>
        <w:rPr>
          <w:bCs/>
          <w:b/>
        </w:rPr>
        <w:t xml:space="preserve">Tier 5 — Component / crowded-field</w:t>
      </w:r>
      <w:r>
        <w:t xml:space="preserve"> </w:t>
      </w:r>
      <w:r>
        <w:t xml:space="preserve">(133 and 10 results):</w:t>
      </w:r>
    </w:p>
    <w:p>
      <w:pPr>
        <w:pStyle w:val="SourceCode"/>
      </w:pPr>
      <w:r>
        <w:rPr>
          <w:rStyle w:val="VerbatimChar"/>
        </w:rPr>
        <w:t xml:space="preserve">CM:*brain AND IC:042 AND GS:"artificial intelligence" AND LD:true</w:t>
      </w:r>
      <w:r>
        <w:br/>
      </w:r>
      <w:r>
        <w:rPr>
          <w:rStyle w:val="VerbatimChar"/>
        </w:rPr>
        <w:t xml:space="preserve">CM:brain* AND IC:042 AND GS:("AI tools" OR "productivity") AND LD:true</w:t>
      </w:r>
    </w:p>
    <w:p>
      <w:pPr>
        <w:pStyle w:val="FirstParagraph"/>
      </w:pPr>
      <w:r>
        <w:rPr>
          <w:bCs/>
          <w:b/>
        </w:rPr>
        <w:t xml:space="preserve">Tier 6 — Dead marks</w:t>
      </w:r>
      <w:r>
        <w:t xml:space="preserve"> </w:t>
      </w:r>
      <w:r>
        <w:t xml:space="preserve">(zero results):</w:t>
      </w:r>
    </w:p>
    <w:p>
      <w:pPr>
        <w:pStyle w:val="SourceCode"/>
      </w:pPr>
      <w:r>
        <w:rPr>
          <w:rStyle w:val="VerbatimChar"/>
        </w:rPr>
        <w:t xml:space="preserve">(CM:deftbrain OR CM:"deft brain" OR CM:deft*brain*) AND LD:false</w:t>
      </w:r>
    </w:p>
    <w:p>
      <w:pPr>
        <w:pStyle w:val="FirstParagraph"/>
      </w:pPr>
      <w:r>
        <w:rPr>
          <w:bCs/>
          <w:b/>
        </w:rPr>
        <w:t xml:space="preserve">Tier 7 — Owner search</w:t>
      </w:r>
      <w:r>
        <w:t xml:space="preserve"> </w:t>
      </w:r>
      <w:r>
        <w:t xml:space="preserve">(not run; no specific competitor of concern identified):</w:t>
      </w:r>
    </w:p>
    <w:p>
      <w:pPr>
        <w:pStyle w:val="SourceCode"/>
      </w:pPr>
      <w:r>
        <w:rPr>
          <w:rStyle w:val="VerbatimChar"/>
        </w:rPr>
        <w:t xml:space="preserve">OW:"[owner name]" AND CM:*brain*</w:t>
      </w:r>
    </w:p>
    <w:p>
      <w:pPr>
        <w:pStyle w:val="FirstParagraph"/>
      </w:pPr>
      <w:r>
        <w:rPr>
          <w:bCs/>
          <w:b/>
        </w:rPr>
        <w:t xml:space="preserve">Tier 8 — Goods/services description</w:t>
      </w:r>
      <w:r>
        <w:t xml:space="preserve"> </w:t>
      </w:r>
      <w:r>
        <w:t xml:space="preserve">(4 results):</w:t>
      </w:r>
    </w:p>
    <w:p>
      <w:pPr>
        <w:pStyle w:val="SourceCode"/>
      </w:pPr>
      <w:r>
        <w:rPr>
          <w:rStyle w:val="VerbatimChar"/>
        </w:rPr>
        <w:t xml:space="preserve">GS:("suite of AI tools" OR "AI-powered productivity" OR "artificial intelligence specialist tools") AND IC:042 AND LD:true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prepared as a pre-launch readiness summary. Sections 1 and 2 constitute a clearance and filing briefing intended for counsel; remaining sections are provided for context and are not legal work product.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2026-04-24T02:27:47Z</dcterms:created>
  <dcterms:modified xsi:type="dcterms:W3CDTF">2026-04-24T02:27:47Z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