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color w:val="003366"/>
          <w:sz w:val="30"/>
        </w:rPr>
        <w:t>NGÂN HÀNG CÂU HỎI VÀ ĐÁP ÁN THEO HỌC PHẦN ĐÀO TẠO UAV</w:t>
        <w:br/>
      </w:r>
      <w:r>
        <w:rPr>
          <w:rFonts w:ascii="Times New Roman" w:hAnsi="Times New Roman"/>
          <w:b/>
          <w:color w:val="003366"/>
          <w:sz w:val="30"/>
        </w:rPr>
        <w:t>HP1: KỸ NĂNG ĐIỀU KHIỂN BVLOS</w:t>
      </w:r>
    </w:p>
    <w:p>
      <w:pPr>
        <w:spacing w:after="120"/>
        <w:jc w:val="center"/>
      </w:pPr>
      <w:r>
        <w:rPr>
          <w:rFonts w:ascii="Times New Roman" w:hAnsi="Times New Roman"/>
          <w:i/>
          <w:sz w:val="21"/>
        </w:rPr>
        <w:t>(Căn cứ Quyết định 3906/QĐ-PKKQ ngày 16/07/2026 &amp; Quyết định 2426/QĐ-BQP)</w:t>
        <w:br/>
      </w:r>
      <w:r>
        <w:rPr>
          <w:rFonts w:ascii="Times New Roman" w:hAnsi="Times New Roman"/>
          <w:i/>
          <w:sz w:val="21"/>
        </w:rPr>
        <w:t>Chương trình: HẠNG B — ĐIỀU KHIỂN UAV TRONG BVLOS (7 TÍN CHỈ / 156 GIỜ) — Môn 2: Thực hành điều khiển UAV trong BVLOS</w:t>
      </w:r>
    </w:p>
    <w:p>
      <w:pPr>
        <w:spacing w:after="160"/>
      </w:pPr>
      <w:r>
        <w:rPr>
          <w:rFonts w:ascii="Times New Roman" w:hAnsi="Times New Roman"/>
          <w:b/>
          <w:sz w:val="21"/>
        </w:rPr>
        <w:t xml:space="preserve">• Kiến thức trọng tâm: </w:t>
      </w:r>
      <w:r>
        <w:rPr>
          <w:rFonts w:ascii="Times New Roman" w:hAnsi="Times New Roman"/>
          <w:sz w:val="21"/>
        </w:rPr>
        <w:t>Thao tác Trạm điều khiển mặt đất (GCS), nạp đường bay tự động, giám sát Telemetry thời gian thực, can thiệp lệnh (Override) và hạ cánh dự phòng khẩn cấp.</w:t>
      </w:r>
      <w:r>
        <w:rPr>
          <w:rFonts w:ascii="Times New Roman" w:hAnsi="Times New Roman"/>
          <w:b/>
          <w:sz w:val="21"/>
        </w:rPr>
        <w:br/>
        <w:t xml:space="preserve">• Thống kê câu hỏi: </w:t>
      </w:r>
      <w:r>
        <w:rPr>
          <w:rFonts w:ascii="Times New Roman" w:hAnsi="Times New Roman"/>
          <w:sz w:val="21"/>
        </w:rPr>
        <w:t>Trắc nghiệm: 0 câu | Vấn đáp: 0 câu</w:t>
      </w:r>
    </w:p>
    <w:p>
      <w:pPr>
        <w:spacing w:after="80"/>
      </w:pPr>
      <w:r>
        <w:rPr>
          <w:rFonts w:ascii="Times New Roman" w:hAnsi="Times New Roman"/>
          <w:b/>
          <w:color w:val="B40000"/>
          <w:sz w:val="24"/>
        </w:rPr>
        <w:t>I. NGÂN HÀNG CÂU HỎI TRẮC NGHIỆM (0 CÂU)</w:t>
      </w:r>
    </w:p>
    <w:p>
      <w:pPr>
        <w:spacing w:after="120"/>
      </w:pPr>
      <w:r>
        <w:rPr>
          <w:rFonts w:ascii="Times New Roman" w:hAnsi="Times New Roman"/>
          <w:i/>
          <w:sz w:val="21"/>
        </w:rPr>
        <w:t>*(Các câu hỏi lập trình Waypoint &amp; GCS được tích hợp kiểm tra trực tiếp trên phần mềm GCS / máy tính điều khiển)*</w:t>
      </w:r>
    </w:p>
    <w:p>
      <w:pPr>
        <w:spacing w:before="160" w:after="80"/>
      </w:pPr>
      <w:r>
        <w:rPr>
          <w:rFonts w:ascii="Times New Roman" w:hAnsi="Times New Roman"/>
          <w:b/>
          <w:color w:val="B40000"/>
          <w:sz w:val="24"/>
        </w:rPr>
        <w:t>II. NGÂN HÀNG CÂU HỎI VẤN ĐÁP (0 CÂU)</w:t>
      </w:r>
    </w:p>
    <w:p>
      <w:pPr>
        <w:spacing w:after="120"/>
      </w:pPr>
      <w:r>
        <w:rPr>
          <w:rFonts w:ascii="Times New Roman" w:hAnsi="Times New Roman"/>
          <w:i/>
          <w:sz w:val="21"/>
        </w:rPr>
        <w:t>*(Thao tác thực tế trạm GCS và vấn đáp xử lý tình huống khẩn nguy trong quá trình bay tự động)*</w:t>
      </w:r>
    </w:p>
    <w:p>
      <w:pPr>
        <w:spacing w:after="0"/>
      </w:pP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