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7"/>
        </w:rPr>
        <w:t>NGÂN HÀNG CÂU HỎI VÀ ĐÁP ÁN THEO HỌC PHẦN ĐÀO TẠO UAV</w:t>
        <w:br/>
        <w:t>HP1: KỸ NĂNG ĐIỀU KHIỂN BVLOS</w:t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(Căn cứ Quyết định 3906/QĐ-PKKQ ngày 16/07/2026 &amp; Quyết định 2426/QĐ-BQP)</w:t>
        <w:br/>
        <w:t>Chương trình: HẠNG B — ĐIỀU KHIỂN UAV TRONG BVLOS (7 TÍN CHỈ / 156 GIỜ) — Môn 2: Thực hành điều khiển UAV trong BVLOS</w:t>
      </w:r>
    </w:p>
    <w:p>
      <w:pPr>
        <w:spacing w:before="80" w:after="160"/>
      </w:pPr>
      <w:r>
        <w:rPr>
          <w:rFonts w:ascii="Arial" w:hAnsi="Arial"/>
          <w:sz w:val="21"/>
        </w:rPr>
        <w:t>• Kiến thức trọng tâm: Thao tác Trạm điều khiển mặt đất (GCS), nạp đường bay tự động, giám sát Telemetry thời gian thực, can thiệp lệnh (Override) và hạ cánh dự phòng khẩn cấp.</w:t>
        <w:br/>
      </w:r>
      <w:r>
        <w:rPr>
          <w:rFonts w:ascii="Arial" w:hAnsi="Arial"/>
          <w:b/>
          <w:sz w:val="21"/>
        </w:rPr>
        <w:t>• Cấu trúc nội dung phân theo chương trình đào tạo chuẩn:</w:t>
        <w:br/>
      </w:r>
      <w:r>
        <w:rPr>
          <w:rFonts w:ascii="Arial" w:hAnsi="Arial"/>
          <w:sz w:val="20"/>
        </w:rPr>
        <w:t xml:space="preserve">   - Bài 1: Thao tác trạm điều khiển mặt đất GCS và nạp đường bay tự động</w:t>
        <w:br/>
      </w:r>
      <w:r>
        <w:rPr>
          <w:rFonts w:ascii="Arial" w:hAnsi="Arial"/>
          <w:sz w:val="20"/>
        </w:rPr>
        <w:t xml:space="preserve">   - Bài 2: Giám sát viễn trắc Telemetry và quét màn hình PFD thời gian thực</w:t>
        <w:br/>
      </w:r>
      <w:r>
        <w:rPr>
          <w:rFonts w:ascii="Arial" w:hAnsi="Arial"/>
          <w:sz w:val="20"/>
        </w:rPr>
        <w:t xml:space="preserve">   - Bài 3: Kỹ thuật can thiệp ghi đè thủ công (Manual Override) và hạ cánh dự phòng</w:t>
        <w:br/>
      </w:r>
      <w:r>
        <w:rPr>
          <w:rFonts w:ascii="Arial" w:hAnsi="Arial"/>
          <w:sz w:val="20"/>
        </w:rPr>
        <w:t xml:space="preserve">   - Bài 4: Quy trình thực hiện bài bay đêm BVLOS 180 giây theo chuẩn sát hạch</w:t>
        <w:br/>
      </w:r>
      <w:r>
        <w:rPr>
          <w:rFonts w:ascii="Arial" w:hAnsi="Arial"/>
          <w:b/>
          <w:color w:val="003366"/>
          <w:sz w:val="21"/>
        </w:rPr>
        <w:t>• Tổng số câu hỏi: Trắc nghiệm: 0 câu | Vấn đáp: 0 câu</w:t>
      </w:r>
    </w:p>
    <w:p>
      <w:pPr>
        <w:keepNext/>
        <w:spacing w:before="320" w:after="160"/>
      </w:pPr>
      <w:r>
        <w:rPr>
          <w:rFonts w:ascii="Arial" w:hAnsi="Arial"/>
          <w:b/>
          <w:color w:val="003366"/>
          <w:sz w:val="26"/>
        </w:rPr>
        <w:t>I. NGÂN HÀNG CÂU HỎI TRẮC NGHIỆM (0 CÂU)</w:t>
      </w:r>
    </w:p>
    <w:p>
      <w:r>
        <w:rPr>
          <w:rFonts w:ascii="Arial" w:hAnsi="Arial"/>
          <w:i/>
          <w:sz w:val="20"/>
        </w:rPr>
        <w:t>*(Nội dung thực hành/mô phỏng, không áp dụng câu hỏi lý thuyết trắc nghiệm trên giấy/máy tính)*</w:t>
      </w:r>
    </w:p>
    <w:p>
      <w:pPr>
        <w:keepNext/>
        <w:spacing w:before="320" w:after="160"/>
      </w:pPr>
      <w:r>
        <w:rPr>
          <w:rFonts w:ascii="Arial" w:hAnsi="Arial"/>
          <w:b/>
          <w:color w:val="003366"/>
          <w:sz w:val="26"/>
        </w:rPr>
        <w:t>II. NGÂN HÀNG CÂU HỎI VẤN ĐÁP (0 CÂU)</w:t>
      </w:r>
    </w:p>
    <w:p>
      <w:r>
        <w:rPr>
          <w:rFonts w:ascii="Arial" w:hAnsi="Arial"/>
          <w:i/>
          <w:sz w:val="20"/>
        </w:rPr>
        <w:t>*(Hỏi đáp và đánh giá trực tiếp tại hiện trường/bãi bay)*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