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0bea788682f421d8bcb83c4f69093e922cdab4"/>
    <w:p>
      <w:pPr>
        <w:pStyle w:val="Heading1"/>
      </w:pPr>
      <w:r>
        <w:t xml:space="preserve">Búsqueda de proyectos y clientes — ver. 2 (consolidada)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2026-07-06</w:t>
      </w:r>
      <w:r>
        <w:t xml:space="preserve"> </w:t>
      </w:r>
      <w:r>
        <w:rPr>
          <w:b/>
          <w:bCs/>
        </w:rPr>
        <w:t xml:space="preserve">Sustituye a:</w:t>
      </w:r>
      <w:r>
        <w:t xml:space="preserve"> </w:t>
      </w:r>
      <w:r>
        <w:rPr>
          <w:rStyle w:val="VerbatimChar"/>
        </w:rPr>
        <w:t xml:space="preserve">Busqueda de proyectos y clientes. ver.1.docx</w:t>
      </w:r>
      <w:r>
        <w:t xml:space="preserve"> </w:t>
      </w:r>
      <w:r>
        <w:rPr>
          <w:b/>
          <w:bCs/>
        </w:rPr>
        <w:t xml:space="preserve">Base:</w:t>
      </w:r>
      <w:r>
        <w:t xml:space="preserve"> </w:t>
      </w:r>
      <w:r>
        <w:t xml:space="preserve">análisis crítico del 2026-07-06 (</w:t>
      </w:r>
      <w:r>
        <w:rPr>
          <w:rStyle w:val="VerbatimChar"/>
        </w:rPr>
        <w:t xml:space="preserve">Analisis - Busqueda de proyectos y clientes ver.1.md</w:t>
      </w:r>
      <w:r>
        <w:t xml:space="preserve">). Esta versión resuelve las 8 contradicciones (C1–C8) y los 8 desaciertos (E1–E8) detectados, siempre a favor de la opción</w:t>
      </w:r>
      <w:r>
        <w:t xml:space="preserve"> </w:t>
      </w:r>
      <w:r>
        <w:rPr>
          <w:b/>
          <w:bCs/>
        </w:rPr>
        <w:t xml:space="preserve">legal, profesional y realista</w:t>
      </w:r>
      <w:r>
        <w:t xml:space="preserve">, y optimiza la combinación coste/beneficio para un MVP funcional de coste contenido.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Nota sobre precios:</w:t>
      </w:r>
      <w:r>
        <w:t xml:space="preserve"> </w:t>
      </w:r>
      <w:r>
        <w:t xml:space="preserve">todos los precios de herramientas y bases de datos de este documento son estimaciones de mercado a julio de 2026 y deben</w:t>
      </w:r>
      <w:r>
        <w:t xml:space="preserve"> </w:t>
      </w:r>
      <w:r>
        <w:rPr>
          <w:b/>
          <w:bCs/>
        </w:rPr>
        <w:t xml:space="preserve">verificarse directamente con cada proveedor antes de firmar nada</w:t>
      </w:r>
      <w:r>
        <w:t xml:space="preserve">. Ninguna cifra de este documento se toma de respuestas de IA sin contrastar (ese fue uno de los defectos de la ver. 1).</w:t>
      </w:r>
    </w:p>
    <w:p>
      <w:r>
        <w:pict>
          <v:rect style="width:0;height:1.5pt" o:hralign="center" o:hrstd="t" o:hr="t"/>
        </w:pict>
      </w:r>
    </w:p>
    <w:bookmarkStart w:id="9" w:name="X439fa05e1f2df52d1ca9d5d87ee3ca7b8d5166d"/>
    <w:p>
      <w:pPr>
        <w:pStyle w:val="Heading2"/>
      </w:pPr>
      <w:r>
        <w:t xml:space="preserve">1. Objetivo y alcance (decisiones cerradas)</w:t>
      </w:r>
    </w:p>
    <w:p>
      <w:pPr>
        <w:pStyle w:val="FirstParagraph"/>
      </w:pPr>
      <w:r>
        <w:rPr>
          <w:b/>
          <w:bCs/>
        </w:rPr>
        <w:t xml:space="preserve">Objetivo de negocio:</w:t>
      </w:r>
      <w:r>
        <w:t xml:space="preserve"> </w:t>
      </w:r>
      <w:r>
        <w:t xml:space="preserve">detectar semanalmente proyectos industriales de gran CAPEX en Europa en fase temprana (estudio → inicio de construcción), identificar las empresas participantes (owner, EPC, ingenierías, subcontratistas) y sus decisores, y generar acciones comerciales para vender personal técnico de ingeniería y construcción.</w:t>
      </w:r>
    </w:p>
    <w:p>
      <w:pPr>
        <w:pStyle w:val="BodyText"/>
      </w:pPr>
      <w:r>
        <w:rPr>
          <w:b/>
          <w:bCs/>
        </w:rPr>
        <w:t xml:space="preserve">Decisiones de alcance</w:t>
      </w:r>
      <w:r>
        <w:t xml:space="preserve"> </w:t>
      </w:r>
      <w:r>
        <w:t xml:space="preserve">(resuelven C4, C5, E1, E8 de la ver. 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Geografía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Europa geográfica</w:t>
            </w:r>
            <w:r>
              <w:t xml:space="preserve">, no solo UE: incluye</w:t>
            </w:r>
            <w:r>
              <w:t xml:space="preserve"> </w:t>
            </w:r>
            <w:r>
              <w:rPr>
                <w:b/>
                <w:bCs/>
              </w:rPr>
              <w:t xml:space="preserve">Reino Unido y Noruega</w:t>
            </w:r>
          </w:p>
        </w:tc>
        <w:tc>
          <w:tcPr/>
          <w:p>
            <w:pPr>
              <w:pStyle w:val="Compact"/>
            </w:pPr>
            <w:r>
              <w:t xml:space="preserve">UK y Noruega concentran gran parte del offshore wind y oil &amp; gas &gt;300 M€; excluirlos por usar "UE" como sinónimo de Europa era la decisión más cara de la ver.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Priorización de países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 (foco comercial): Alemania, Países Bajos, Bélgica, Dinamarca.</w:t>
            </w:r>
            <w:r>
              <w:t xml:space="preserve"> </w:t>
            </w:r>
            <w:r>
              <w:t xml:space="preserve">Tier 2 (monitorizados): Francia, España, Polonia, Italia, Reino Unido, Noruega</w:t>
            </w:r>
          </w:p>
        </w:tc>
        <w:tc>
          <w:tcPr/>
          <w:p>
            <w:pPr>
              <w:pStyle w:val="Compact"/>
            </w:pPr>
            <w:r>
              <w:t xml:space="preserve">Una sola lista, alineada entre alertas, filtros y scoring (la ver. 1 usaba tres listas distintas)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Sectores</w:t>
            </w:r>
          </w:p>
        </w:tc>
        <w:tc>
          <w:tcPr/>
          <w:p>
            <w:pPr>
              <w:pStyle w:val="Compact"/>
            </w:pPr>
            <w:r>
              <w:t xml:space="preserve">Renovables (eólica on/offshore, solar utility scale, BESS, hidrógeno, biometano, PtX/amoníaco), oil &amp; gas / LNG / infraestructura gasista, infraestructura industrial (puertos, data centers, químicas, gigafactorías, interconexiones)</w:t>
            </w:r>
          </w:p>
        </w:tc>
        <w:tc>
          <w:tcPr/>
          <w:p>
            <w:pPr>
              <w:pStyle w:val="Compact"/>
            </w:pPr>
            <w:r>
              <w:t xml:space="preserve">Sin cambios respecto a ver.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&gt; 300 M€ (o indicios de escala equivalente). Excepciones marcables manualmente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Fases de interés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Feasibility / diseño conceptual / pre-FEED → FEED → permitting → FID → EPC tender/award → inicio de construcción.</w:t>
            </w:r>
            <w:r>
              <w:t xml:space="preserve"> </w:t>
            </w:r>
            <w:r>
              <w:t xml:space="preserve">Commissioning y operación =</w:t>
            </w:r>
            <w:r>
              <w:t xml:space="preserve"> </w:t>
            </w:r>
            <w:r>
              <w:rPr>
                <w:b/>
                <w:bCs/>
              </w:rPr>
              <w:t xml:space="preserve">descarte automático</w:t>
            </w:r>
          </w:p>
        </w:tc>
        <w:tc>
          <w:tcPr/>
          <w:p>
            <w:pPr>
              <w:pStyle w:val="Compact"/>
            </w:pPr>
            <w:r>
              <w:t xml:space="preserve">Corrige E1: la fase previa al FEED se llama</w:t>
            </w:r>
            <w:r>
              <w:t xml:space="preserve"> </w:t>
            </w:r>
            <w:r>
              <w:rPr>
                <w:i/>
                <w:iCs/>
              </w:rPr>
              <w:t xml:space="preserve">pre-FEED / feasibility</w:t>
            </w:r>
            <w:r>
              <w:t xml:space="preserve"> </w:t>
            </w:r>
            <w:r>
              <w:t xml:space="preserve">(el acrónimo "FED = Fuentes de Energía Renovables" de la ver. 1 no existe en la industria). Corrige E8: las fases sin interés comercial se filtran explícitamente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 de monitoreo</w:t>
            </w:r>
          </w:p>
        </w:tc>
        <w:tc>
          <w:tcPr/>
          <w:p>
            <w:pPr>
              <w:pStyle w:val="Compact"/>
            </w:pPr>
            <w:r>
              <w:t xml:space="preserve">Inglés +</w:t>
            </w:r>
            <w:r>
              <w:t xml:space="preserve"> </w:t>
            </w:r>
            <w:r>
              <w:rPr>
                <w:b/>
                <w:bCs/>
              </w:rPr>
              <w:t xml:space="preserve">alemán, neerlandés, francés, español, polaco, italiano, danés/noruego</w:t>
            </w:r>
            <w:r>
              <w:t xml:space="preserve"> </w:t>
            </w:r>
            <w:r>
              <w:t xml:space="preserve">en alertas y prensa local</w:t>
            </w:r>
          </w:p>
        </w:tc>
        <w:tc>
          <w:tcPr/>
          <w:p>
            <w:pPr>
              <w:pStyle w:val="Compact"/>
            </w:pPr>
            <w:r>
              <w:t xml:space="preserve">Nuevo: los permisos y la prensa regional de los países objetivo no se publican en inglés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20fe6aec47ebba5120ef4ff14b73944ad25cea5"/>
    <w:p>
      <w:pPr>
        <w:pStyle w:val="Heading2"/>
      </w:pPr>
      <w:r>
        <w:t xml:space="preserve">2. Cómo se resuelve cada contradicción de la ver.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Contradicción original</w:t>
            </w:r>
          </w:p>
        </w:tc>
        <w:tc>
          <w:tcPr/>
          <w:p>
            <w:pPr>
              <w:pStyle w:val="Compact"/>
            </w:pPr>
            <w:r>
              <w:t xml:space="preserve">Decisión en esta 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Cuatro presupuestos distintos para el MVP (25–45 k€, 35–55 k€, 50–75 k€, 60 k€)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 solo presupuesto</w:t>
            </w:r>
            <w:r>
              <w:t xml:space="preserve"> </w:t>
            </w:r>
            <w:r>
              <w:t xml:space="preserve">por fases con supuestos explícitos (sección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"No hacer scraping" vs. arquitectura con web 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Política de scraping en dos niveles</w:t>
            </w:r>
            <w:r>
              <w:t xml:space="preserve"> </w:t>
            </w:r>
            <w:r>
              <w:t xml:space="preserve">(sección 6.1): monitorizar información de proyectos sí; extraer datos personales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"No inventar emails" vs. deducir email por patrón corporativo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Política de emails verificados</w:t>
            </w:r>
            <w:r>
              <w:t xml:space="preserve"> </w:t>
            </w:r>
            <w:r>
              <w:t xml:space="preserve">(sección 6.4): el patrón inferido se admite solo como último recurso, siempre verificado, marcado con confianza baja, y nunca se envía a un email sin verificar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Scoring solo puntuaba 4 países pero se buscaba en 8</w:t>
            </w:r>
          </w:p>
        </w:tc>
        <w:tc>
          <w:tcPr/>
          <w:p>
            <w:pPr>
              <w:pStyle w:val="Compact"/>
            </w:pPr>
            <w:r>
              <w:t xml:space="preserve">Scoring por</w:t>
            </w:r>
            <w:r>
              <w:t xml:space="preserve"> </w:t>
            </w:r>
            <w:r>
              <w:rPr>
                <w:b/>
                <w:bCs/>
              </w:rPr>
              <w:t xml:space="preserve">tiers</w:t>
            </w:r>
            <w:r>
              <w:t xml:space="preserve"> </w:t>
            </w:r>
            <w:r>
              <w:t xml:space="preserve">alineado con la lista única de países (sección 7.3)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"Europa (EU)" ambiguo</w:t>
            </w:r>
          </w:p>
        </w:tc>
        <w:tc>
          <w:tcPr/>
          <w:p>
            <w:pPr>
              <w:pStyle w:val="Compact"/>
            </w:pPr>
            <w:r>
              <w:t xml:space="preserve">Europa geográfica incl. UK y Noruega (sección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Volúmenes objetivo incoherentes entre secciones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 solo cuadro de KPIs</w:t>
            </w:r>
            <w:r>
              <w:t xml:space="preserve"> </w:t>
            </w:r>
            <w:r>
              <w:t xml:space="preserve">(sección 10) usado también como entregable contractual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Doble numeración de secciones</w:t>
            </w:r>
          </w:p>
        </w:tc>
        <w:tc>
          <w:tcPr/>
          <w:p>
            <w:pPr>
              <w:pStyle w:val="Compact"/>
            </w:pPr>
            <w:r>
              <w:t xml:space="preserve">Documento único con numeración única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Herramientas que cambiaban entre secciones (SerpAPI/Tavily, n8n/Celery/Make, monedas mezcladas)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 sola tabla de stack</w:t>
            </w:r>
            <w:r>
              <w:t xml:space="preserve"> </w:t>
            </w:r>
            <w:r>
              <w:t xml:space="preserve">con una elección por función, todo en EUR (sección 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c311199d4f48e635b3bf7cfa416cbbdc11fba7"/>
    <w:p>
      <w:pPr>
        <w:pStyle w:val="Heading2"/>
      </w:pPr>
      <w:r>
        <w:t xml:space="preserve">3. Estrategia general: tres fases con puertas de decisión</w:t>
      </w:r>
    </w:p>
    <w:p>
      <w:pPr>
        <w:pStyle w:val="FirstParagraph"/>
      </w:pPr>
      <w:r>
        <w:t xml:space="preserve">El principio de la ver. 1 que se conserva íntegro:</w:t>
      </w:r>
      <w:r>
        <w:t xml:space="preserve"> </w:t>
      </w:r>
      <w:r>
        <w:rPr>
          <w:b/>
          <w:bCs/>
        </w:rPr>
        <w:t xml:space="preserve">el valor no está en "usar IA", sino en señales tempranas + contactos correctos + acción comercial rápida</w:t>
      </w:r>
      <w:r>
        <w:t xml:space="preserve">, y no se escala el gasto sin evidencia de retorno.</w:t>
      </w:r>
    </w:p>
    <w:p>
      <w:pPr>
        <w:pStyle w:val="SourceCode"/>
      </w:pPr>
      <w:r>
        <w:rPr>
          <w:rStyle w:val="VerbatimChar"/>
        </w:rPr>
        <w:t xml:space="preserve">Fase 0 (60 días, operada por el implementador, ~4.800–6.200 €)  → puerta: ≥5 reuniones comerciales</w:t>
      </w:r>
      <w:r>
        <w:br/>
      </w:r>
      <w:r>
        <w:rPr>
          <w:rStyle w:val="VerbatimChar"/>
        </w:rPr>
        <w:t xml:space="preserve">Fase 1 (MVP con implementador, ~65.000 €)                       → puerta: ≥8 reuniones en 3 meses de operación</w:t>
      </w:r>
      <w:r>
        <w:br/>
      </w:r>
      <w:r>
        <w:rPr>
          <w:rStyle w:val="VerbatimChar"/>
        </w:rPr>
        <w:t xml:space="preserve">Fase 2 (profesionalización, 25–60 k€)                           → puerta: pipeline/contratos atribuibles al canal</w:t>
      </w:r>
    </w:p>
    <w:p>
      <w:pPr>
        <w:pStyle w:val="FirstParagraph"/>
      </w:pPr>
      <w:r>
        <w:rPr>
          <w:b/>
          <w:bCs/>
        </w:rPr>
        <w:t xml:space="preserve">Fase 0 es obligatoria antes de construir el sistema.</w:t>
      </w:r>
      <w:r>
        <w:t xml:space="preserve"> </w:t>
      </w:r>
      <w:r>
        <w:t xml:space="preserve">La ver. 1 la describía como alternativa "hazlo tú mismo"; aquí se convierte en el test de la hipótesis comercial,</w:t>
      </w:r>
      <w:r>
        <w:t xml:space="preserve"> </w:t>
      </w:r>
      <w:r>
        <w:rPr>
          <w:b/>
          <w:bCs/>
        </w:rPr>
        <w:t xml:space="preserve">operado por el equipo del implementador como servicio facturable</w:t>
      </w:r>
      <w:r>
        <w:t xml:space="preserve">: configura las herramientas, monta la infraestructura mínima, ejecuta el proceso semanal (10 h/semana) y documenta la infraestructura, los procedimientos y sus resultados (alcance y costes en la sección 8). Si con proceso manual + IA no salen reuniones, un sistema automatizado no las creará: automatizar multiplica un proceso que funciona, no arregla uno que no.</w:t>
      </w:r>
    </w:p>
    <w:p>
      <w:r>
        <w:pict>
          <v:rect style="width:0;height:1.5pt" o:hralign="center" o:hrstd="t" o:hr="t"/>
        </w:pict>
      </w:r>
    </w:p>
    <w:bookmarkEnd w:id="11"/>
    <w:bookmarkStart w:id="14" w:name="X012daa3fed2529b9fa108208bf711cee4803b0e"/>
    <w:p>
      <w:pPr>
        <w:pStyle w:val="Heading2"/>
      </w:pPr>
      <w:r>
        <w:t xml:space="preserve">4. Fuentes de datos</w:t>
      </w:r>
    </w:p>
    <w:bookmarkStart w:id="12" w:name="Xb4bcbd01f2a11a17c507a5d4c0dca6e828d049c"/>
    <w:p>
      <w:pPr>
        <w:pStyle w:val="Heading3"/>
      </w:pPr>
      <w:r>
        <w:t xml:space="preserve">4.1 Fuentes públicas (gratuitas o casi)</w:t>
      </w:r>
    </w:p>
    <w:p>
      <w:pPr>
        <w:pStyle w:val="FirstParagraph"/>
      </w:pPr>
      <w:r>
        <w:rPr>
          <w:b/>
          <w:bCs/>
        </w:rPr>
        <w:t xml:space="preserve">Con expectativas corregidas</w:t>
      </w:r>
      <w:r>
        <w:t xml:space="preserve"> </w:t>
      </w:r>
      <w:r>
        <w:t xml:space="preserve">(resuelve E2): TED cubre</w:t>
      </w:r>
      <w:r>
        <w:t xml:space="preserve"> </w:t>
      </w:r>
      <w:r>
        <w:rPr>
          <w:b/>
          <w:bCs/>
        </w:rPr>
        <w:t xml:space="preserve">contratación pública</w:t>
      </w:r>
      <w:r>
        <w:t xml:space="preserve"> </w:t>
      </w:r>
      <w:r>
        <w:t xml:space="preserve">— sirve para TSOs, puertos, utilities estatales e infraestructura pública, pero</w:t>
      </w:r>
      <w:r>
        <w:t xml:space="preserve"> </w:t>
      </w:r>
      <w:r>
        <w:rPr>
          <w:b/>
          <w:bCs/>
        </w:rPr>
        <w:t xml:space="preserve">la mayoría de los megaproyectos privados de energía no licitan por TED</w:t>
      </w:r>
      <w:r>
        <w:t xml:space="preserve">. Por eso las fuentes públicas se complementan con la cobertura del sector privado (4.2).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Cubre</w:t>
            </w:r>
          </w:p>
        </w:tc>
        <w:tc>
          <w:tcPr/>
          <w:p>
            <w:pPr>
              <w:pStyle w:val="Compact"/>
            </w:pPr>
            <w:r>
              <w:t xml:space="preserve">Vía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TED (Tenders Electronic Daily)</w:t>
            </w:r>
          </w:p>
        </w:tc>
        <w:tc>
          <w:tcPr/>
          <w:p>
            <w:pPr>
              <w:pStyle w:val="Compact"/>
            </w:pPr>
            <w:r>
              <w:t xml:space="preserve">Licitación pública UE</w:t>
            </w:r>
          </w:p>
        </w:tc>
        <w:tc>
          <w:tcPr/>
          <w:p>
            <w:pPr>
              <w:pStyle w:val="Compact"/>
            </w:pPr>
            <w:r>
              <w:t xml:space="preserve">API oficial, acceso anónimo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Funding &amp; Tenders Portal</w:t>
            </w:r>
          </w:p>
        </w:tc>
        <w:tc>
          <w:tcPr/>
          <w:p>
            <w:pPr>
              <w:pStyle w:val="Compact"/>
            </w:pPr>
            <w:r>
              <w:t xml:space="preserve">Proyectos con financiación UE</w:t>
            </w:r>
          </w:p>
        </w:tc>
        <w:tc>
          <w:tcPr/>
          <w:p>
            <w:pPr>
              <w:pStyle w:val="Compact"/>
            </w:pPr>
            <w:r>
              <w:t xml:space="preserve">API REST pública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PCI/PMI de la Comisión Europea</w:t>
            </w:r>
          </w:p>
        </w:tc>
        <w:tc>
          <w:tcPr/>
          <w:p>
            <w:pPr>
              <w:pStyle w:val="Compact"/>
            </w:pPr>
            <w:r>
              <w:t xml:space="preserve">Proyectos energéticos transfronterizos prioritarios</w:t>
            </w:r>
          </w:p>
        </w:tc>
        <w:tc>
          <w:tcPr/>
          <w:p>
            <w:pPr>
              <w:pStyle w:val="Compact"/>
            </w:pPr>
            <w:r>
              <w:t xml:space="preserve">Publicación periódica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ENTSO-E TYNDP / ENTSOG TYNDP</w:t>
            </w:r>
          </w:p>
        </w:tc>
        <w:tc>
          <w:tcPr/>
          <w:p>
            <w:pPr>
              <w:pStyle w:val="Compact"/>
            </w:pPr>
            <w:r>
              <w:t xml:space="preserve">Transmisión eléctrica, almacenamiento, gas e H2</w:t>
            </w:r>
          </w:p>
        </w:tc>
        <w:tc>
          <w:tcPr/>
          <w:p>
            <w:pPr>
              <w:pStyle w:val="Compact"/>
            </w:pPr>
            <w:r>
              <w:t xml:space="preserve">Publicaciones +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Hydrogen Observatory / H2 Infrastructure Map</w:t>
            </w:r>
          </w:p>
        </w:tc>
        <w:tc>
          <w:tcPr/>
          <w:p>
            <w:pPr>
              <w:pStyle w:val="Compact"/>
            </w:pPr>
            <w:r>
              <w:t xml:space="preserve">Proyectos de hidrógeno</w:t>
            </w:r>
          </w:p>
        </w:tc>
        <w:tc>
          <w:tcPr/>
          <w:p>
            <w:pPr>
              <w:pStyle w:val="Compact"/>
            </w:pPr>
            <w:r>
              <w:t xml:space="preserve">Web/datos abiertos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Registros nacionales de permisos</w:t>
            </w:r>
            <w:r>
              <w:t xml:space="preserve"> </w:t>
            </w:r>
            <w:r>
              <w:t xml:space="preserve">— no estaban en la ver. 1 y son la mejor señal temprana gratuita: RVO Bureau Energieprojecten (NL), portal UVP (DE), Planning Inspectorate NSIP (UK), enquêtes publiques (FR), NVE (NO), tramitación ambiental MITECO (ES)</w:t>
            </w:r>
          </w:p>
        </w:tc>
        <w:tc>
          <w:tcPr/>
          <w:p>
            <w:pPr>
              <w:pStyle w:val="Compact"/>
            </w:pPr>
            <w:r>
              <w:t xml:space="preserve">Permitting/EIA de grandes proyectos, país por país</w:t>
            </w:r>
          </w:p>
        </w:tc>
        <w:tc>
          <w:tcPr/>
          <w:p>
            <w:pPr>
              <w:pStyle w:val="Compact"/>
            </w:pPr>
            <w:r>
              <w:t xml:space="preserve">Web pública, monitorizable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Prensa especializada por RSS (Hydrogen Insight, Offshore Wind Biz, Upstream, enerG, prensa local por idioma) + notas de prensa de los ~30 mayores EPCs europeos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 privado</w:t>
            </w:r>
            <w:r>
              <w:t xml:space="preserve">: FEED awards, FID, EPC awards</w:t>
            </w:r>
          </w:p>
        </w:tc>
        <w:tc>
          <w:tcPr/>
          <w:p>
            <w:pPr>
              <w:pStyle w:val="Compact"/>
            </w:pPr>
            <w:r>
              <w:t xml:space="preserve">Feedly + Google Alerts</w:t>
            </w:r>
          </w:p>
        </w:tc>
      </w:tr>
    </w:tbl>
    <w:bookmarkEnd w:id="12"/>
    <w:bookmarkStart w:id="13" w:name="Xeccb71551a21d3e98eb0fc45167795f1502de96"/>
    <w:p>
      <w:pPr>
        <w:pStyle w:val="Heading3"/>
      </w:pPr>
      <w:r>
        <w:t xml:space="preserve">4.2 Cobertura del sector privado y bases de datos de pago</w:t>
      </w:r>
    </w:p>
    <w:p>
      <w:pPr>
        <w:pStyle w:val="FirstParagraph"/>
      </w:pPr>
      <w:r>
        <w:t xml:space="preserve">Decisión coste/beneficio para no depender de TED ni pagar 30–150 k€/año de entrada: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 (Fases 0–1):</w:t>
      </w:r>
      <w:r>
        <w:t xml:space="preserve"> </w:t>
      </w:r>
      <w:r>
        <w:t xml:space="preserve">sector privado cubierto vía prensa especializada + notas de prensa de EPCs/owners + registros de permisos + LinkedIn. Coste ≈ 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🆕 EIC DataStream (Energy Industries Council)</w:t>
      </w:r>
      <w:r>
        <w:t xml:space="preserve"> </w:t>
      </w:r>
      <w:r>
        <w:t xml:space="preserve">— no considerada en la ver. 1: base de datos de proyectos energéticos orientada precisamente a la cadena de suministro (empresas que venden servicios/personal a proyectos), accesible vía membresía EIC a un coste típicamente de</w:t>
      </w:r>
      <w:r>
        <w:t xml:space="preserve"> </w:t>
      </w:r>
      <w:r>
        <w:rPr>
          <w:b/>
          <w:bCs/>
        </w:rPr>
        <w:t xml:space="preserve">un orden de magnitud inferior</w:t>
      </w:r>
      <w:r>
        <w:t xml:space="preserve"> </w:t>
      </w:r>
      <w:r>
        <w:t xml:space="preserve">a GlobalData/Rystad/WoodMac (verificar cuota vigente según tamaño de empresa). Es el</w:t>
      </w:r>
      <w:r>
        <w:t xml:space="preserve"> </w:t>
      </w:r>
      <w:r>
        <w:rPr>
          <w:b/>
          <w:bCs/>
        </w:rPr>
        <w:t xml:space="preserve">primer piloto de pago recomendado</w:t>
      </w:r>
      <w:r>
        <w:t xml:space="preserve">, en Fase 1 tardía o Fase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🆕 4C Offshore / TGS</w:t>
      </w:r>
      <w:r>
        <w:t xml:space="preserve"> </w:t>
      </w:r>
      <w:r>
        <w:t xml:space="preserve">— si la eólica offshore resulta ser el subsector con más tracción, base especializada de coste medio.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 antes de comprar</w:t>
      </w:r>
      <w:r>
        <w:t xml:space="preserve"> </w:t>
      </w:r>
      <w:r>
        <w:t xml:space="preserve">(se conserva de la ver. 1, es una de sus mejores ideas): antes de contratar cualquier base grande (IJGlobal, Industrial Info Resources, GlobalData, Rystad, WoodMac), prueba comparativa de 2–3 proveedores contra</w:t>
      </w:r>
      <w:r>
        <w:t xml:space="preserve"> </w:t>
      </w:r>
      <w:r>
        <w:rPr>
          <w:b/>
          <w:bCs/>
        </w:rPr>
        <w:t xml:space="preserve">30 proyectos conocidos</w:t>
      </w:r>
      <w:r>
        <w:t xml:space="preserve"> </w:t>
      </w:r>
      <w:r>
        <w:t xml:space="preserve">— cobertura, frescura de fase, contactos, precio.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contratar en ninguna fase inicial:</w:t>
      </w:r>
      <w:r>
        <w:t xml:space="preserve"> </w:t>
      </w:r>
      <w:r>
        <w:t xml:space="preserve">GlobalData, Rystad, WoodMac, S&amp;P, ZoomInfo, Salesforce.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2c65a611a7bc847b7b6a3bc03c1a64d66b361d2"/>
    <w:p>
      <w:pPr>
        <w:pStyle w:val="Heading2"/>
      </w:pPr>
      <w:r>
        <w:t xml:space="preserve">5. Stack tecnológico (una sola elección por función)</w:t>
      </w:r>
    </w:p>
    <w:p>
      <w:pPr>
        <w:pStyle w:val="FirstParagraph"/>
      </w:pPr>
      <w:r>
        <w:t xml:space="preserve">Criterio: mínimo coste que no comprometa funcionalidad ni cumplimiento. Todo en EUR aprox./mes; verificar precios con el proveedor.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Elección</w:t>
            </w:r>
          </w:p>
        </w:tc>
        <w:tc>
          <w:tcPr/>
          <w:p>
            <w:pPr>
              <w:pStyle w:val="Compact"/>
            </w:pPr>
            <w:r>
              <w:t xml:space="preserve">Coste aprox.</w:t>
            </w:r>
          </w:p>
        </w:tc>
        <w:tc>
          <w:tcPr/>
          <w:p>
            <w:pPr>
              <w:pStyle w:val="Compact"/>
            </w:pPr>
            <w:r>
              <w:t xml:space="preserve">Por qué esta y no las alternativas de la ver.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Pipedrive</w:t>
            </w:r>
            <w:r>
              <w:t xml:space="preserve"> </w:t>
            </w:r>
            <w:r>
              <w:t xml:space="preserve">(Essential→Advanced)</w:t>
            </w:r>
          </w:p>
        </w:tc>
        <w:tc>
          <w:tcPr/>
          <w:p>
            <w:pPr>
              <w:pStyle w:val="Compact"/>
            </w:pPr>
            <w:r>
              <w:t xml:space="preserve">15–40 €/usuario</w:t>
            </w:r>
          </w:p>
        </w:tc>
        <w:tc>
          <w:tcPr/>
          <w:p>
            <w:pPr>
              <w:pStyle w:val="Compact"/>
            </w:pPr>
            <w:r>
              <w:t xml:space="preserve">Suficiente para pipeline B2B; HubSpot Starter como alternativa válida; Salesforce descartado por coste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operativa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Airtable Team</w:t>
            </w:r>
          </w:p>
        </w:tc>
        <w:tc>
          <w:tcPr/>
          <w:p>
            <w:pPr>
              <w:pStyle w:val="Compact"/>
            </w:pPr>
            <w:r>
              <w:t xml:space="preserve">~20 €/usuario</w:t>
            </w:r>
          </w:p>
        </w:tc>
        <w:tc>
          <w:tcPr/>
          <w:p>
            <w:pPr>
              <w:pStyle w:val="Compact"/>
            </w:pPr>
            <w:r>
              <w:t xml:space="preserve">Proyectos/empresas/contactos con interfaces; migrable a PostgreSQL si el volumen lo exige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Automatización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n8n</w:t>
            </w:r>
            <w:r>
              <w:t xml:space="preserve"> </w:t>
            </w:r>
            <w:r>
              <w:t xml:space="preserve">(cloud o self-host)</w:t>
            </w:r>
          </w:p>
        </w:tc>
        <w:tc>
          <w:tcPr/>
          <w:p>
            <w:pPr>
              <w:pStyle w:val="Compact"/>
            </w:pPr>
            <w:r>
              <w:t xml:space="preserve">10–25 €</w:t>
            </w:r>
          </w:p>
        </w:tc>
        <w:tc>
          <w:tcPr/>
          <w:p>
            <w:pPr>
              <w:pStyle w:val="Compact"/>
            </w:pPr>
            <w:r>
              <w:t xml:space="preserve">Se elimina la mención incoherente a Celery (cola de tareas Python, no herramienta de automatización); Make como alternativa no-code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— clasificación masiva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API de Claude — modelo Haiku (</w:t>
            </w:r>
            <w:r>
              <w:rPr>
                <w:rStyle w:val="VerbatimChar"/>
                <w:b/>
                <w:bCs/>
              </w:rPr>
              <w:t xml:space="preserve">claude-haiku-4-5</w:t>
            </w:r>
            <w:r>
              <w:rPr>
                <w:b/>
                <w:bCs/>
              </w:rPr>
              <w:t xml:space="preserve">)</w:t>
            </w:r>
            <w:r>
              <w:t xml:space="preserve">, con Batch API (−50 %)</w:t>
            </w:r>
          </w:p>
        </w:tc>
        <w:tc>
          <w:tcPr/>
          <w:p>
            <w:pPr>
              <w:pStyle w:val="Compact"/>
            </w:pPr>
            <w:r>
              <w:t xml:space="preserve">~1 $/M tokens entrada, 5 $/M salida → estimado 10–40 €/mes al volumen del MVP</w:t>
            </w:r>
          </w:p>
        </w:tc>
        <w:tc>
          <w:tcPr/>
          <w:p>
            <w:pPr>
              <w:pStyle w:val="Compact"/>
            </w:pPr>
            <w:r>
              <w:t xml:space="preserve">La ver. 1 solo contemplaba OpenAI. Regla de la propia ver. 1 aplicada con datos: modelo barato para clasificar cientos de noticias/semana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— análisis e informe semanal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de Claude — modelo Opus (</w:t>
            </w:r>
            <w:r>
              <w:rPr>
                <w:rStyle w:val="VerbatimChar"/>
                <w:b/>
                <w:bCs/>
              </w:rPr>
              <w:t xml:space="preserve">claude-opus-4-8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5 $/M entrada, 25 $/M salida → estimado 10–40 €/mes</w:t>
            </w:r>
          </w:p>
        </w:tc>
        <w:tc>
          <w:tcPr/>
          <w:p>
            <w:pPr>
              <w:pStyle w:val="Compact"/>
            </w:pPr>
            <w:r>
              <w:t xml:space="preserve">Un solo informe semanal profundo: el coste es marginal y la calidad importa aquí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Búsqueda web programática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</w:t>
            </w:r>
            <w:r>
              <w:t xml:space="preserve"> </w:t>
            </w:r>
            <w:r>
              <w:t xml:space="preserve">(pay-as-you-go ~0,008 $/crédito) + SerpAPI solo puntual</w:t>
            </w:r>
          </w:p>
        </w:tc>
        <w:tc>
          <w:tcPr/>
          <w:p>
            <w:pPr>
              <w:pStyle w:val="Compact"/>
            </w:pPr>
            <w:r>
              <w:t xml:space="preserve">20–60 €</w:t>
            </w:r>
          </w:p>
        </w:tc>
        <w:tc>
          <w:tcPr/>
          <w:p>
            <w:pPr>
              <w:pStyle w:val="Compact"/>
            </w:pPr>
            <w:r>
              <w:t xml:space="preserve">Resuelve C8: una primaria y una de respaldo, no dos en paralelo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Noticias/alertas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Feedly Pro + Google Alerts</w:t>
            </w:r>
            <w:r>
              <w:t xml:space="preserve"> </w:t>
            </w:r>
            <w:r>
              <w:t xml:space="preserve">(alertas en idiomas locales)</w:t>
            </w:r>
          </w:p>
        </w:tc>
        <w:tc>
          <w:tcPr/>
          <w:p>
            <w:pPr>
              <w:pStyle w:val="Compact"/>
            </w:pPr>
            <w:r>
              <w:t xml:space="preserve">0–10 €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Prospección de decisores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Sales Navigator Core</w:t>
            </w:r>
            <w:r>
              <w:t xml:space="preserve"> </w:t>
            </w:r>
            <w:r>
              <w:t xml:space="preserve">(1 licencia en MVP)</w:t>
            </w:r>
          </w:p>
        </w:tc>
        <w:tc>
          <w:tcPr/>
          <w:p>
            <w:pPr>
              <w:pStyle w:val="Compact"/>
            </w:pPr>
            <w:r>
              <w:t xml:space="preserve">~120 €/licencia</w:t>
            </w:r>
          </w:p>
        </w:tc>
        <w:tc>
          <w:tcPr/>
          <w:p>
            <w:pPr>
              <w:pStyle w:val="Compact"/>
            </w:pPr>
            <w:r>
              <w:t xml:space="preserve">Herramienta con licencia, sin automatización sobre 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Enriquecimiento de emails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Dropcontact</w:t>
            </w:r>
          </w:p>
        </w:tc>
        <w:tc>
          <w:tcPr/>
          <w:p>
            <w:pPr>
              <w:pStyle w:val="Compact"/>
            </w:pPr>
            <w:r>
              <w:t xml:space="preserve">25–50 €</w:t>
            </w:r>
          </w:p>
        </w:tc>
        <w:tc>
          <w:tcPr/>
          <w:p>
            <w:pPr>
              <w:pStyle w:val="Compact"/>
            </w:pPr>
            <w:r>
              <w:t xml:space="preserve">No considerada en la ver. 1. Diseñada para cumplimiento RGPD (calcula y verifica emails bajo demanda, proveedor europeo, sin revender bases masivas). Sustituye a Apollo como fuente primaria y resuelve la zona gris legal (E6). Apollo queda como opción secundaria a evaluar con su 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con Google Workspace en el MVP.</w:t>
            </w:r>
            <w:r>
              <w:t xml:space="preserve"> </w:t>
            </w:r>
            <w:r>
              <w:t xml:space="preserve">Secuenciador (Lemlist/Instantly) solo en Fase 2 y</w:t>
            </w:r>
            <w:r>
              <w:t xml:space="preserve"> </w:t>
            </w:r>
            <w:r>
              <w:rPr>
                <w:b/>
                <w:bCs/>
              </w:rPr>
              <w:t xml:space="preserve">solo para países donde el email frío B2B es legal</w:t>
            </w:r>
            <w:r>
              <w:t xml:space="preserve"> </w:t>
            </w:r>
            <w:r>
              <w:t xml:space="preserve">(ver 6.3)</w:t>
            </w:r>
          </w:p>
        </w:tc>
        <w:tc>
          <w:tcPr/>
          <w:p>
            <w:pPr>
              <w:pStyle w:val="Compact"/>
            </w:pPr>
            <w:r>
              <w:t xml:space="preserve">0 € (MVP)</w:t>
            </w:r>
          </w:p>
        </w:tc>
        <w:tc>
          <w:tcPr/>
          <w:p>
            <w:pPr>
              <w:pStyle w:val="Compact"/>
            </w:pPr>
            <w:r>
              <w:t xml:space="preserve">La ver. 1 recomendaba secuencias automatizadas sin filtro legal por país — inviable en Alemania o Dinamarca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Looker Studio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Resuelve C8: gratuito y suficiente; Power BI/Metabase solo si hay una razón concreta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Total software MVP: ≈ 250–400 €/mes</w:t>
      </w:r>
      <w:r>
        <w:t xml:space="preserve"> </w:t>
      </w:r>
      <w:r>
        <w:t xml:space="preserve">en Fase 0 (1 usuario; herramientas configuradas y operadas por el equipo del implementador) y</w:t>
      </w:r>
      <w:r>
        <w:t xml:space="preserve"> </w:t>
      </w:r>
      <w:r>
        <w:rPr>
          <w:b/>
          <w:bCs/>
        </w:rPr>
        <w:t xml:space="preserve">≈ 400–700 €/mes</w:t>
      </w:r>
      <w:r>
        <w:t xml:space="preserve"> </w:t>
      </w:r>
      <w:r>
        <w:t xml:space="preserve">en Fase 1 (con 2 licencias Sales Navigator y volúmenes mayores), más hosting/backups (50–150 €) y mantenimiento del implementador (500–1.000 €) a partir de la puesta en producción.</w:t>
      </w:r>
    </w:p>
    <w:p>
      <w:r>
        <w:pict>
          <v:rect style="width:0;height:1.5pt" o:hralign="center" o:hrstd="t" o:hr="t"/>
        </w:pict>
      </w:r>
    </w:p>
    <w:bookmarkEnd w:id="15"/>
    <w:bookmarkStart w:id="20" w:name="X9e9361d8dafcd22e75e6356d49599af39adc58b"/>
    <w:p>
      <w:pPr>
        <w:pStyle w:val="Heading2"/>
      </w:pPr>
      <w:r>
        <w:t xml:space="preserve">6. Marco legal (integrado en el diseño, no como anexo)</w:t>
      </w:r>
    </w:p>
    <w:p>
      <w:pPr>
        <w:pStyle w:val="FirstParagraph"/>
      </w:pPr>
      <w:r>
        <w:t xml:space="preserve">Esta sección resuelve C2, C3, E3 y E6. El implementador elabora y entrega una</w:t>
      </w:r>
      <w:r>
        <w:t xml:space="preserve"> </w:t>
      </w:r>
      <w:r>
        <w:rPr>
          <w:b/>
          <w:bCs/>
        </w:rPr>
        <w:t xml:space="preserve">Propuesta de Cumplimiento GDPR</w:t>
      </w:r>
      <w:r>
        <w:t xml:space="preserve"> </w:t>
      </w:r>
      <w:r>
        <w:t xml:space="preserve">(matriz de canal por país + plantillas art. 14 + LIA; partida presupuestada en la sección 8).</w:t>
      </w:r>
      <w:r>
        <w:t xml:space="preserve"> </w:t>
      </w:r>
      <w:r>
        <w:rPr>
          <w:b/>
          <w:bCs/>
        </w:rPr>
        <w:t xml:space="preserve">El cliente debe validarla con sus propios asesores legales antes del primer envío; esa validación externa corre por cuenta del cliente y no está incluida ni se factura en este presupuesto.</w:t>
      </w:r>
      <w:r>
        <w:t xml:space="preserve"> </w:t>
      </w:r>
      <w:r>
        <w:t xml:space="preserve">El sistema debe</w:t>
      </w:r>
      <w:r>
        <w:t xml:space="preserve"> </w:t>
      </w:r>
      <w:r>
        <w:rPr>
          <w:b/>
          <w:bCs/>
        </w:rPr>
        <w:t xml:space="preserve">imponer</w:t>
      </w:r>
      <w:r>
        <w:t xml:space="preserve"> </w:t>
      </w:r>
      <w:r>
        <w:t xml:space="preserve">estas reglas, no solo documentarlas: el CRM bloquea el canal email para contactos de países donde no procede.</w:t>
      </w:r>
    </w:p>
    <w:bookmarkStart w:id="16" w:name="Xbf8ef530e7ba18627f7954b6e0a90961fa50616"/>
    <w:p>
      <w:pPr>
        <w:pStyle w:val="Heading3"/>
      </w:pPr>
      <w:r>
        <w:t xml:space="preserve">6.1 Política de scraping (dos niveles)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Permitido:</w:t>
      </w:r>
      <w:r>
        <w:t xml:space="preserve"> </w:t>
      </w:r>
      <w:r>
        <w:t xml:space="preserve">monitorización automatizada de</w:t>
      </w:r>
      <w:r>
        <w:t xml:space="preserve"> </w:t>
      </w:r>
      <w:r>
        <w:rPr>
          <w:b/>
          <w:bCs/>
        </w:rPr>
        <w:t xml:space="preserve">información de proyectos y empresas</w:t>
      </w:r>
      <w:r>
        <w:t xml:space="preserve"> </w:t>
      </w:r>
      <w:r>
        <w:t xml:space="preserve">en fuentes públicas (prensa, notas de prensa, registros de permisos, webs de proyectos), respetando robots.txt y condiciones de uso, sin extraer datos personales.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Prohibido:</w:t>
      </w:r>
      <w:r>
        <w:t xml:space="preserve"> </w:t>
      </w:r>
      <w:r>
        <w:t xml:space="preserve">scraping de</w:t>
      </w:r>
      <w:r>
        <w:t xml:space="preserve"> </w:t>
      </w:r>
      <w:r>
        <w:rPr>
          <w:b/>
          <w:bCs/>
        </w:rPr>
        <w:t xml:space="preserve">datos personales</w:t>
      </w:r>
      <w:r>
        <w:t xml:space="preserve">; cualquier extracción automatizada de LinkedIn (contrario a sus condiciones); compra de listas masivas.</w:t>
      </w:r>
    </w:p>
    <w:p>
      <w:pPr>
        <w:pStyle w:val="Compact"/>
        <w:numPr>
          <w:ilvl w:val="0"/>
          <w:numId w:val="1002"/>
        </w:numPr>
      </w:pPr>
      <w:r>
        <w:t xml:space="preserve">Los contactos se obtienen solo por: búsqueda manual en Sales Navigator, Dropcontact (bajo DPA), web corporativa oficial y noticias donde la persona aparece públicamente en su rol.</w:t>
      </w:r>
    </w:p>
    <w:bookmarkEnd w:id="16"/>
    <w:bookmarkStart w:id="17" w:name="Xcae2036944640130436134eda749d0323f08d76"/>
    <w:p>
      <w:pPr>
        <w:pStyle w:val="Heading3"/>
      </w:pPr>
      <w:r>
        <w:t xml:space="preserve">6.2 GDPR operativo</w:t>
      </w:r>
    </w:p>
    <w:p>
      <w:pPr>
        <w:pStyle w:val="FirstParagraph"/>
      </w:pPr>
      <w:r>
        <w:t xml:space="preserve">Se conserva la</w:t>
      </w:r>
      <w:r>
        <w:t xml:space="preserve"> </w:t>
      </w:r>
      <w:r>
        <w:rPr>
          <w:b/>
          <w:bCs/>
        </w:rPr>
        <w:t xml:space="preserve">nota GDPR por contacto</w:t>
      </w:r>
      <w:r>
        <w:t xml:space="preserve"> </w:t>
      </w:r>
      <w:r>
        <w:t xml:space="preserve">de la ver. 1 (fuente, motivo comercial, relevancia, fecha de captura, opt-out, retención) y se añade lo que faltaba: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 jurídica:</w:t>
      </w:r>
      <w:r>
        <w:t xml:space="preserve"> </w:t>
      </w:r>
      <w:r>
        <w:t xml:space="preserve">interés legítimo (art. 6.1.f) con</w:t>
      </w:r>
      <w:r>
        <w:t xml:space="preserve"> </w:t>
      </w:r>
      <w:r>
        <w:rPr>
          <w:b/>
          <w:bCs/>
        </w:rPr>
        <w:t xml:space="preserve">evaluación LIA documentada</w:t>
      </w:r>
      <w:r>
        <w:t xml:space="preserve"> </w:t>
      </w:r>
      <w:r>
        <w:t xml:space="preserve">(necesidad, finalidad, ponderación), según las directrices del EDPB.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🆕 Deber de información (art. 14 RGPD):</w:t>
      </w:r>
      <w:r>
        <w:t xml:space="preserve"> </w:t>
      </w:r>
      <w:r>
        <w:t xml:space="preserve">al captar datos de un contacto sin pedírselos a él, hay que informarle</w:t>
      </w:r>
      <w:r>
        <w:t xml:space="preserve"> </w:t>
      </w:r>
      <w:r>
        <w:rPr>
          <w:b/>
          <w:bCs/>
        </w:rPr>
        <w:t xml:space="preserve">en la primera comunicación o antes de 1 mes</w:t>
      </w:r>
      <w:r>
        <w:t xml:space="preserve">: incluir en el primer mensaje una línea con el origen del dato y enlace a la política de privacidad con derechos y opt-out. La ver. 1 omitía esta obligación por completo.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de actividades de tratamiento (RoPA)</w:t>
      </w:r>
      <w:r>
        <w:t xml:space="preserve"> </w:t>
      </w:r>
      <w:r>
        <w:t xml:space="preserve">con esta actividad de prospección.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Retención:</w:t>
      </w:r>
      <w:r>
        <w:t xml:space="preserve"> </w:t>
      </w:r>
      <w:r>
        <w:t xml:space="preserve">borrado o anonimización de contactos sin interacción tras</w:t>
      </w:r>
      <w:r>
        <w:t xml:space="preserve"> </w:t>
      </w:r>
      <w:r>
        <w:rPr>
          <w:b/>
          <w:bCs/>
        </w:rPr>
        <w:t xml:space="preserve">12 meses</w:t>
      </w:r>
      <w:r>
        <w:t xml:space="preserve">; lista de supresión permanente para opt-outs.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DPAs firmados</w:t>
      </w:r>
      <w:r>
        <w:t xml:space="preserve"> </w:t>
      </w:r>
      <w:r>
        <w:t xml:space="preserve">con todos los encargados: Airtable, Pipedrive, Anthropic, Dropcontact, Google, n8n.</w:t>
      </w:r>
    </w:p>
    <w:p>
      <w:pPr>
        <w:pStyle w:val="Compact"/>
        <w:numPr>
          <w:ilvl w:val="0"/>
          <w:numId w:val="1003"/>
        </w:numPr>
      </w:pPr>
      <w:r>
        <w:t xml:space="preserve">Referencias normativas: EDPB (UE) y autoridades nacionales (AEPD, BfDI, CNIL…). La cita al ICO británico de la ver. 1 solo aplica si se trabaja el mercado UK (UK GDPR + PECR).</w:t>
      </w:r>
    </w:p>
    <w:bookmarkEnd w:id="17"/>
    <w:bookmarkStart w:id="18" w:name="Xc872bc22b0fd069550e557e7f235f5c1933c3db"/>
    <w:p>
      <w:pPr>
        <w:pStyle w:val="Heading3"/>
      </w:pPr>
      <w:r>
        <w:t xml:space="preserve">6.3 Matriz de canal de primer contacto por país 🆕</w:t>
      </w:r>
    </w:p>
    <w:p>
      <w:pPr>
        <w:pStyle w:val="FirstParagraph"/>
      </w:pPr>
      <w:r>
        <w:t xml:space="preserve">El punto legal más importante que la ver. 1 pasó por alto: el email frío B2B a personas identificadas está</w:t>
      </w:r>
      <w:r>
        <w:t xml:space="preserve"> </w:t>
      </w:r>
      <w:r>
        <w:rPr>
          <w:b/>
          <w:bCs/>
        </w:rPr>
        <w:t xml:space="preserve">restringido o prohibido en la mayoría de los mercados Tier 1</w:t>
      </w:r>
      <w:r>
        <w:t xml:space="preserve"> </w:t>
      </w:r>
      <w:r>
        <w:t xml:space="preserve">por la normativa ePrivacy nacional. Matriz de trabajo incluida en la Propuesta de Cumplimiento GDPR (pendiente de validación por los asesores legales del cliente):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Email frío a persona nombrada</w:t>
            </w:r>
          </w:p>
        </w:tc>
        <w:tc>
          <w:tcPr/>
          <w:p>
            <w:pPr>
              <w:pStyle w:val="Compact"/>
            </w:pPr>
            <w:r>
              <w:t xml:space="preserve">Canal de primer contacto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Alemania</w:t>
            </w:r>
            <w:r>
              <w:t xml:space="preserve"> </w:t>
            </w:r>
            <w:r>
              <w:t xml:space="preserve">(Tier 1)</w:t>
            </w:r>
          </w:p>
        </w:tc>
        <w:tc>
          <w:tcPr/>
          <w:p>
            <w:pPr>
              <w:pStyle w:val="Compact"/>
            </w:pPr>
            <w:r>
              <w:t xml:space="preserve">❌ No (§7 UWG: opt-in incluso B2B; riesgo de</w:t>
            </w:r>
            <w:r>
              <w:t xml:space="preserve"> </w:t>
            </w:r>
            <w:r>
              <w:rPr>
                <w:i/>
                <w:iCs/>
              </w:rPr>
              <w:t xml:space="preserve">Abmahnung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LinkedIn + teléfono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Dinamarca</w:t>
            </w:r>
            <w:r>
              <w:t xml:space="preserve"> </w:t>
            </w:r>
            <w:r>
              <w:t xml:space="preserve">(Tier 1)</w:t>
            </w:r>
          </w:p>
        </w:tc>
        <w:tc>
          <w:tcPr/>
          <w:p>
            <w:pPr>
              <w:pStyle w:val="Compact"/>
            </w:pPr>
            <w:r>
              <w:t xml:space="preserve">❌ No (Ley de prácticas de marketing: consentimiento, también B2B)</w:t>
            </w:r>
          </w:p>
        </w:tc>
        <w:tc>
          <w:tcPr/>
          <w:p>
            <w:pPr>
              <w:pStyle w:val="Compact"/>
            </w:pPr>
            <w:r>
              <w:t xml:space="preserve">LinkedIn + teléfono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Países Bajos</w:t>
            </w:r>
            <w:r>
              <w:t xml:space="preserve"> </w:t>
            </w:r>
            <w:r>
              <w:t xml:space="preserve">(Tier 1)</w:t>
            </w:r>
          </w:p>
        </w:tc>
        <w:tc>
          <w:tcPr/>
          <w:p>
            <w:pPr>
              <w:pStyle w:val="Compact"/>
            </w:pPr>
            <w:r>
              <w:t xml:space="preserve">✅ Sí a cuentas corporativas, con opt-out claro</w:t>
            </w:r>
          </w:p>
        </w:tc>
        <w:tc>
          <w:tcPr/>
          <w:p>
            <w:pPr>
              <w:pStyle w:val="Compact"/>
            </w:pPr>
            <w:r>
              <w:t xml:space="preserve">Email + LinkedIn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Bélgica</w:t>
            </w:r>
            <w:r>
              <w:t xml:space="preserve"> </w:t>
            </w:r>
            <w:r>
              <w:t xml:space="preserve">(Tier 1)</w:t>
            </w:r>
          </w:p>
        </w:tc>
        <w:tc>
          <w:tcPr/>
          <w:p>
            <w:pPr>
              <w:pStyle w:val="Compact"/>
            </w:pPr>
            <w:r>
              <w:t xml:space="preserve">⚠️ Con condiciones (excepción B2B para personas jurídicas / direcciones funcionales)</w:t>
            </w:r>
          </w:p>
        </w:tc>
        <w:tc>
          <w:tcPr/>
          <w:p>
            <w:pPr>
              <w:pStyle w:val="Compact"/>
            </w:pPr>
            <w:r>
              <w:t xml:space="preserve">Email funcional + 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Francia</w:t>
            </w:r>
          </w:p>
        </w:tc>
        <w:tc>
          <w:tcPr/>
          <w:p>
            <w:pPr>
              <w:pStyle w:val="Compact"/>
            </w:pPr>
            <w:r>
              <w:t xml:space="preserve">✅ Sí si el mensaje se relaciona con la función profesional, con opt-out (criterio CNIL)</w:t>
            </w:r>
          </w:p>
        </w:tc>
        <w:tc>
          <w:tcPr/>
          <w:p>
            <w:pPr>
              <w:pStyle w:val="Compact"/>
            </w:pPr>
            <w:r>
              <w:t xml:space="preserve">Email + 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⚠️ Restringido (art. 21 LSSI: consentimiento salvo relación previa)</w:t>
            </w:r>
          </w:p>
        </w:tc>
        <w:tc>
          <w:tcPr/>
          <w:p>
            <w:pPr>
              <w:pStyle w:val="Compact"/>
            </w:pPr>
            <w:r>
              <w:t xml:space="preserve">LinkedIn + teléfono; email tras el primer 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Polonia</w:t>
            </w:r>
          </w:p>
        </w:tc>
        <w:tc>
          <w:tcPr/>
          <w:p>
            <w:pPr>
              <w:pStyle w:val="Compact"/>
            </w:pPr>
            <w:r>
              <w:t xml:space="preserve">❌ Consentimiento requerido</w:t>
            </w:r>
          </w:p>
        </w:tc>
        <w:tc>
          <w:tcPr/>
          <w:p>
            <w:pPr>
              <w:pStyle w:val="Compact"/>
            </w:pPr>
            <w:r>
              <w:t xml:space="preserve">LinkedIn + 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Italia</w:t>
            </w:r>
          </w:p>
        </w:tc>
        <w:tc>
          <w:tcPr/>
          <w:p>
            <w:pPr>
              <w:pStyle w:val="Compact"/>
            </w:pPr>
            <w:r>
              <w:t xml:space="preserve">❌ Consentimiento como regla general</w:t>
            </w:r>
          </w:p>
        </w:tc>
        <w:tc>
          <w:tcPr/>
          <w:p>
            <w:pPr>
              <w:pStyle w:val="Compact"/>
            </w:pPr>
            <w:r>
              <w:t xml:space="preserve">LinkedIn + 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Reino Unido</w:t>
            </w:r>
          </w:p>
        </w:tc>
        <w:tc>
          <w:tcPr/>
          <w:p>
            <w:pPr>
              <w:pStyle w:val="Compact"/>
            </w:pPr>
            <w:r>
              <w:t xml:space="preserve">✅ Sí a</w:t>
            </w:r>
            <w:r>
              <w:t xml:space="preserve"> </w:t>
            </w:r>
            <w:r>
              <w:rPr>
                <w:i/>
                <w:iCs/>
              </w:rPr>
              <w:t xml:space="preserve">corporate subscribers</w:t>
            </w:r>
            <w:r>
              <w:t xml:space="preserve"> </w:t>
            </w:r>
            <w:r>
              <w:t xml:space="preserve">con opt-out (PECR)</w:t>
            </w:r>
          </w:p>
        </w:tc>
        <w:tc>
          <w:tcPr/>
          <w:p>
            <w:pPr>
              <w:pStyle w:val="Compact"/>
            </w:pPr>
            <w:r>
              <w:t xml:space="preserve">Email + 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Noruega</w:t>
            </w:r>
          </w:p>
        </w:tc>
        <w:tc>
          <w:tcPr/>
          <w:p>
            <w:pPr>
              <w:pStyle w:val="Compact"/>
            </w:pPr>
            <w:r>
              <w:t xml:space="preserve">⚠️ Direcciones corporativas genéricas sí; email personal de trabajo requiere consentimiento</w:t>
            </w:r>
          </w:p>
        </w:tc>
        <w:tc>
          <w:tcPr/>
          <w:p>
            <w:pPr>
              <w:pStyle w:val="Compact"/>
            </w:pPr>
            <w:r>
              <w:t xml:space="preserve">LinkedIn + teléfono + email genérico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Consecuencia de diseño:</w:t>
      </w:r>
      <w:r>
        <w:t xml:space="preserve"> </w:t>
      </w:r>
      <w:r>
        <w:t xml:space="preserve">el playbook principal en Alemania y Dinamarca (los dos mercados con más peso en el scoring) es</w:t>
      </w:r>
      <w:r>
        <w:t xml:space="preserve"> </w:t>
      </w:r>
      <w:r>
        <w:rPr>
          <w:b/>
          <w:bCs/>
        </w:rPr>
        <w:t xml:space="preserve">LinkedIn + teléfono</w:t>
      </w:r>
      <w:r>
        <w:t xml:space="preserve">, no email. El secuenciador de email de Fase 2 solo se activa para NL, FR, BE, UK.</w:t>
      </w:r>
    </w:p>
    <w:bookmarkEnd w:id="18"/>
    <w:bookmarkStart w:id="19" w:name="Xfa7abd1220f5f40cffb32ce61c3912159c979af"/>
    <w:p>
      <w:pPr>
        <w:pStyle w:val="Heading3"/>
      </w:pPr>
      <w:r>
        <w:t xml:space="preserve">6.4 Política de emails (resuelve C3)</w:t>
      </w:r>
    </w:p>
    <w:p>
      <w:pPr>
        <w:pStyle w:val="FirstParagraph"/>
      </w:pPr>
      <w:r>
        <w:t xml:space="preserve">Orden de obtención: (1) publicado por la empresa/web corporativa → confianza alta; (2) Dropcontact bajo DPA → confianza media; (3)</w:t>
      </w:r>
      <w:r>
        <w:t xml:space="preserve"> </w:t>
      </w:r>
      <w:r>
        <w:rPr>
          <w:b/>
          <w:bCs/>
        </w:rPr>
        <w:t xml:space="preserve">solo si 1 y 2 fallan</w:t>
      </w:r>
      <w:r>
        <w:t xml:space="preserve">, patrón corporativo inferido (</w:t>
      </w:r>
      <w:r>
        <w:rPr>
          <w:rStyle w:val="VerbatimChar"/>
        </w:rPr>
        <w:t xml:space="preserve">nombre.apellido@empresa.com</w:t>
      </w:r>
      <w:r>
        <w:t xml:space="preserve">)</w:t>
      </w:r>
      <w:r>
        <w:t xml:space="preserve"> </w:t>
      </w:r>
      <w:r>
        <w:rPr>
          <w:b/>
          <w:bCs/>
        </w:rPr>
        <w:t xml:space="preserve">siempre pasado por verificador SMTP</w:t>
      </w:r>
      <w:r>
        <w:t xml:space="preserve"> </w:t>
      </w:r>
      <w:r>
        <w:t xml:space="preserve">→ confianza baja, marcado como "inferido".</w:t>
      </w:r>
      <w:r>
        <w:t xml:space="preserve"> </w:t>
      </w:r>
      <w:r>
        <w:rPr>
          <w:b/>
          <w:bCs/>
        </w:rPr>
        <w:t xml:space="preserve">Regla dura: jamás se envía a un email no verificado</w:t>
      </w:r>
      <w:r>
        <w:t xml:space="preserve">, y todo contacto registra fuente + nivel de confianza. Así se mantiene el espíritu de "no inventar emails" sin la regla incumplible de la ver. 1.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c75a795501fde5b7444539d6f8b1fceef74ed6e"/>
    <w:p>
      <w:pPr>
        <w:pStyle w:val="Heading2"/>
      </w:pPr>
      <w:r>
        <w:t xml:space="preserve">7. Especificación funcional del sistema (MVP)</w:t>
      </w:r>
    </w:p>
    <w:bookmarkStart w:id="21" w:name="Xbf41ead7d87f8cf294954fe3d8ac9bfb43fbeda"/>
    <w:p>
      <w:pPr>
        <w:pStyle w:val="Heading3"/>
      </w:pPr>
      <w:r>
        <w:t xml:space="preserve">7.1 Módulos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Ingesta:</w:t>
      </w:r>
      <w:r>
        <w:t xml:space="preserve"> </w:t>
      </w:r>
      <w:r>
        <w:t xml:space="preserve">APIs públicas (TED, EU F&amp;T, ENTSO-E/G, Hydrogen Observatory) + RSS/alertas de prensa y permisos (multiidioma) + fuentes de pago cuando se activen.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Normalización:</w:t>
      </w:r>
      <w:r>
        <w:t xml:space="preserve"> </w:t>
      </w:r>
      <w:r>
        <w:t xml:space="preserve">unificar nombres de empresa, deduplicar proyectos entre fuentes, estandarizar CAPEX/fechas/países/sectores;</w:t>
      </w:r>
      <w:r>
        <w:t xml:space="preserve"> </w:t>
      </w:r>
      <w:r>
        <w:rPr>
          <w:b/>
          <w:bCs/>
        </w:rPr>
        <w:t xml:space="preserve">cada dato guarda fuente, fecha y, en caso de conflicto entre fuentes, prevalece la más reciente de mayor rango</w:t>
      </w:r>
      <w:r>
        <w:t xml:space="preserve"> </w:t>
      </w:r>
      <w:r>
        <w:t xml:space="preserve">(fuente oficial &gt; base de pago &gt; prensa) con el conflicto registrado.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Clasificador IA</w:t>
      </w:r>
      <w:r>
        <w:t xml:space="preserve"> </w:t>
      </w:r>
      <w:r>
        <w:t xml:space="preserve">(Haiku, por lotes): sector, país, CAPEX estimado, fase, probabilidad de oportunidad, perfiles técnicos probables. Salida estructurada con esquema JSON validado; toda clasificación con fase o CAPEX dudoso se marca para revisión humana. "No inventes datos; si no hay información, devuelve</w:t>
      </w:r>
      <w:r>
        <w:t xml:space="preserve"> </w:t>
      </w:r>
      <w:r>
        <w:rPr>
          <w:rStyle w:val="VerbatimChar"/>
        </w:rPr>
        <w:t xml:space="preserve">no_encontrado</w:t>
      </w:r>
      <w:r>
        <w:t xml:space="preserve">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Motor de señales:</w:t>
      </w:r>
      <w:r>
        <w:t xml:space="preserve"> </w:t>
      </w:r>
      <w:r>
        <w:t xml:space="preserve">FEED awarded · EPC tender launched · EPC award · FID approved · construction start · environmental permit granted · owner's engineer selected · framework agreement · hydrogen valley funding · port expansion approved. (Definiciones del anexo de la ver. 1, con ejemplos sustituidos por casos europeos &gt;300 M€ — los ejemplos originales eran de Níger, Líbano y Costa de Marfil, fuera del alcance.)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Company mapping:</w:t>
      </w:r>
      <w:r>
        <w:t xml:space="preserve"> </w:t>
      </w:r>
      <w:r>
        <w:t xml:space="preserve">owner, EPC, PMC/owner's engineer, ingenierías, subcontratistas por paquete.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Contact finder:</w:t>
      </w:r>
      <w:r>
        <w:t xml:space="preserve"> </w:t>
      </w:r>
      <w:r>
        <w:t xml:space="preserve">Sales Navigator (manual) + Dropcontact, bajo la política 6.4. Cargos objetivo: Project Director, Construction Director/Manager, Site Manager, EPC Director, Engineering Manager, Procurement/Subcontract/Contract Manager, QA/QC Manager, HSE Manager, Commissioning Manager, Package Manager por disciplina, Talent Acquisition/Resource Manager.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Scoring comercial</w:t>
      </w:r>
      <w:r>
        <w:t xml:space="preserve"> </w:t>
      </w:r>
      <w:r>
        <w:t xml:space="preserve">(7.3) → prioriza la cola de trabajo.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Salida a CRM:</w:t>
      </w:r>
      <w:r>
        <w:t xml:space="preserve"> </w:t>
      </w:r>
      <w:r>
        <w:t xml:space="preserve">empresa + proyecto + oportunidad + contactos + tareas + resumen IA</w:t>
      </w:r>
      <w:r>
        <w:t xml:space="preserve"> </w:t>
      </w:r>
      <w:r>
        <w:rPr>
          <w:b/>
          <w:bCs/>
        </w:rPr>
        <w:t xml:space="preserve">con fuentes</w:t>
      </w:r>
      <w:r>
        <w:t xml:space="preserve"> </w:t>
      </w:r>
      <w:r>
        <w:t xml:space="preserve">— se conserva el principio de la ver. 1: motor explicable, "nada de 'la IA cree que…', siempre evidencia".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Informe semanal</w:t>
      </w:r>
      <w:r>
        <w:t xml:space="preserve"> </w:t>
      </w:r>
      <w:r>
        <w:t xml:space="preserve">automático (Opus): nuevos proyectos, cambios de fase, nuevos actores, top 20 oportunidades con ficha.</w:t>
      </w:r>
    </w:p>
    <w:bookmarkEnd w:id="21"/>
    <w:bookmarkStart w:id="22" w:name="Xc3e8c2066feea9c3654c3b9a2b3746dbeb024b9"/>
    <w:p>
      <w:pPr>
        <w:pStyle w:val="Heading3"/>
      </w:pPr>
      <w:r>
        <w:t xml:space="preserve">7.2 Validación humana obligatoria</w:t>
      </w:r>
    </w:p>
    <w:p>
      <w:pPr>
        <w:pStyle w:val="FirstParagraph"/>
      </w:pPr>
      <w:r>
        <w:t xml:space="preserve">MVP</w:t>
      </w:r>
      <w:r>
        <w:t xml:space="preserve"> </w:t>
      </w:r>
      <w:r>
        <w:rPr>
          <w:b/>
          <w:bCs/>
        </w:rPr>
        <w:t xml:space="preserve">semi-automático</w:t>
      </w:r>
      <w:r>
        <w:t xml:space="preserve"> </w:t>
      </w:r>
      <w:r>
        <w:t xml:space="preserve">(decisión conservada de la ver. 1): ninguna acción de contacto se ejecuta sin aprobación humana. La dedicación operativa es</w:t>
      </w:r>
      <w:r>
        <w:t xml:space="preserve"> </w:t>
      </w:r>
      <w:r>
        <w:rPr>
          <w:b/>
          <w:bCs/>
        </w:rPr>
        <w:t xml:space="preserve">condición de éxito y partida presupuestaria</w:t>
      </w:r>
      <w:r>
        <w:t xml:space="preserve">: mínimo</w:t>
      </w:r>
      <w:r>
        <w:t xml:space="preserve"> </w:t>
      </w:r>
      <w:r>
        <w:rPr>
          <w:b/>
          <w:bCs/>
        </w:rPr>
        <w:t xml:space="preserve">10 h/semana</w:t>
      </w:r>
      <w:r>
        <w:t xml:space="preserve"> </w:t>
      </w:r>
      <w:r>
        <w:t xml:space="preserve">de una persona con criterio comercial (la ver. 1 la exigía en el proceso pero no la presupuestaba — E7).</w:t>
      </w:r>
      <w:r>
        <w:t xml:space="preserve"> </w:t>
      </w:r>
      <w:r>
        <w:rPr>
          <w:b/>
          <w:bCs/>
        </w:rPr>
        <w:t xml:space="preserve">En Fase 0 estas 10 h/semana las ejecuta el equipo del implementador como servicio facturable</w:t>
      </w:r>
      <w:r>
        <w:t xml:space="preserve"> </w:t>
      </w:r>
      <w:r>
        <w:t xml:space="preserve">(sección 8); a partir de la puesta en producción de la Fase 1 las asume el cliente (o se contratan como servicio gestionado aparte).</w:t>
      </w:r>
    </w:p>
    <w:bookmarkEnd w:id="22"/>
    <w:bookmarkStart w:id="23" w:name="X4166f04fec46fcb6f9b87934f85e3439efa2b60"/>
    <w:p>
      <w:pPr>
        <w:pStyle w:val="Heading3"/>
      </w:pPr>
      <w:r>
        <w:t xml:space="preserve">7.3 Scoring (alineado con el alcance)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 &gt; 1.000 M€</w:t>
            </w:r>
          </w:p>
        </w:tc>
        <w:tc>
          <w:tcPr/>
          <w:p>
            <w:pPr>
              <w:pStyle w:val="Compact"/>
            </w:pPr>
            <w:r>
              <w:t xml:space="preserve">+20 (300–1.000 M€: +10)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EPC award / inicio de construcción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pre-FEED / FEED / EPC tender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País Tier 1 (DE, NL, BE, DK)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País Tier 2 (FR, ES, PL, IT, UK, NO)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Disciplinas núcleo presentes (LNG, H2, tanques, QA/QC, coating, insulation)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Contactos decisores identificados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noticia &lt; 30 días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commissioning / operación</w:t>
            </w:r>
          </w:p>
        </w:tc>
        <w:tc>
          <w:tcPr/>
          <w:p>
            <w:pPr>
              <w:pStyle w:val="Compact"/>
            </w:pPr>
            <w:r>
              <w:t xml:space="preserve">descarte</w:t>
            </w:r>
          </w:p>
        </w:tc>
      </w:tr>
    </w:tbl>
    <w:bookmarkEnd w:id="23"/>
    <w:bookmarkStart w:id="24" w:name="X5c6bb01e0a2820ea01e48f6e7a74ce6ce506a87"/>
    <w:p>
      <w:pPr>
        <w:pStyle w:val="Heading3"/>
      </w:pPr>
      <w:r>
        <w:t xml:space="preserve">7.4 Modelo de datos mínimo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ID, nombre, país, región, sector, subsector, CAPEX + moneda, fase + confianza de fase, fecha estimada de inicio de construcción y de operación, owner/developer, EPC/FEED contractor, PMC/owner's engineer, subcontratistas conocidos, estado de permitting, estado de tender, URLs fuente, fecha de última actualización, score comercial, servicio recomendado, próxima acción, comercial responsable.</w:t>
      </w:r>
    </w:p>
    <w:p>
      <w:pPr>
        <w:pStyle w:val="BodyText"/>
      </w:pPr>
      <w:r>
        <w:rPr>
          <w:b/>
          <w:bCs/>
        </w:rPr>
        <w:t xml:space="preserve">Contacto:</w:t>
      </w:r>
      <w:r>
        <w:t xml:space="preserve"> </w:t>
      </w:r>
      <w:r>
        <w:t xml:space="preserve">nombre, empresa, cargo, seniority, departamento, proyecto relacionado, país, URL LinkedIn, email +</w:t>
      </w:r>
      <w:r>
        <w:t xml:space="preserve"> </w:t>
      </w:r>
      <w:r>
        <w:rPr>
          <w:b/>
          <w:bCs/>
        </w:rPr>
        <w:t xml:space="preserve">nivel de confianza + método de obtención</w:t>
      </w:r>
      <w:r>
        <w:t xml:space="preserve">, teléfono, fuente,</w:t>
      </w:r>
      <w:r>
        <w:t xml:space="preserve"> </w:t>
      </w:r>
      <w:r>
        <w:rPr>
          <w:b/>
          <w:bCs/>
        </w:rPr>
        <w:t xml:space="preserve">base jurídica + fecha de captura + fecha de información art. 14 + opt-out + fecha de borrado programado</w:t>
      </w:r>
      <w:r>
        <w:t xml:space="preserve"> </w:t>
      </w:r>
      <w:r>
        <w:t xml:space="preserve">🆕, último contacto, próxima acción,</w:t>
      </w:r>
      <w:r>
        <w:t xml:space="preserve"> </w:t>
      </w:r>
      <w:r>
        <w:rPr>
          <w:b/>
          <w:bCs/>
        </w:rPr>
        <w:t xml:space="preserve">canal permitido según matriz 6.3</w:t>
      </w:r>
      <w:r>
        <w:t xml:space="preserve"> </w:t>
      </w:r>
      <w:r>
        <w:t xml:space="preserve">🆕.</w:t>
      </w:r>
    </w:p>
    <w:bookmarkEnd w:id="24"/>
    <w:bookmarkStart w:id="25" w:name="Xdbcf24f890b59a7e80cf48699ed0bad17818c71"/>
    <w:p>
      <w:pPr>
        <w:pStyle w:val="Heading3"/>
      </w:pPr>
      <w:r>
        <w:t xml:space="preserve">7.5 Proceso semanal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El sistema entrega el informe semanal; revisión (2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Validación humana: proyectos que encajan, empresas objetivo, contactos aprobados, estrategia owner/EPC/subcontratista (2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Miércoles–jueves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  <w:r>
              <w:t xml:space="preserve"> </w:t>
            </w:r>
            <w:r>
              <w:rPr>
                <w:b/>
                <w:bCs/>
              </w:rPr>
              <w:t xml:space="preserve">por el canal legal de cada país</w:t>
            </w:r>
            <w:r>
              <w:t xml:space="preserve">: mensajes personalizados citando proyecto y fase; registro en CRM (3–4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Respuestas, follow-ups, descartes, ajuste de scoring (1 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ed16c0fcd4515f80755b6e4591fe09d68286274"/>
    <w:p>
      <w:pPr>
        <w:pStyle w:val="Heading2"/>
      </w:pPr>
      <w:r>
        <w:t xml:space="preserve">8. Presupuesto único (resuelve C1)</w:t>
      </w:r>
    </w:p>
    <w:bookmarkStart w:id="27" w:name="Xc05e471f343f10ae80cf079a465ce86164695b9"/>
    <w:p>
      <w:pPr>
        <w:pStyle w:val="Heading3"/>
      </w:pPr>
      <w:r>
        <w:t xml:space="preserve">Fase 0 — Validación del modelo de negocio, operada por el implementador (60 días)</w:t>
      </w:r>
    </w:p>
    <w:p>
      <w:pPr>
        <w:pStyle w:val="FirstParagraph"/>
      </w:pPr>
      <w:r>
        <w:t xml:space="preserve">El equipo del implementador ejecuta la Fase 0 como servicio facturable, con este alcance comprometido: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Configuración de herramientas:</w:t>
      </w:r>
      <w:r>
        <w:t xml:space="preserve"> </w:t>
      </w:r>
      <w:r>
        <w:t xml:space="preserve">alta y parametrización del stack de la sección 5 (Airtable, Pipedrive, n8n, alertas multiidioma, Feedly, Sales Navigator, Dropcontact, plantillas de mensaje por canal y país).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Infraestructura mínima:</w:t>
      </w:r>
      <w:r>
        <w:t xml:space="preserve"> </w:t>
      </w:r>
      <w:r>
        <w:t xml:space="preserve">entorno de automatización (n8n), repositorio de configuración, copias de seguridad y registro de actividad.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Operación del proceso semanal (10 h/semana):</w:t>
      </w:r>
      <w:r>
        <w:t xml:space="preserve"> </w:t>
      </w:r>
      <w:r>
        <w:t xml:space="preserve">el ciclo lunes–viernes de la sección 7.5, ejecutado por el equipo del implementador durante las ~8–9 semanas de la fase, para validar el modelo de negocio.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de la infraestructura montada, de los procedimientos empleados y de sus resultados (informe final con métricas y recomendación go/no-go).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Propuesta de Cumplimiento GDPR:</w:t>
      </w:r>
      <w:r>
        <w:t xml:space="preserve"> </w:t>
      </w:r>
      <w:r>
        <w:t xml:space="preserve">matriz de canal por país + plantillas art. 14 + LIA (sección 6), elaborada por el implementador. La validación por asesores legales es responsabilidad y coste del cliente, fuera de este presupuesto.</w:t>
      </w:r>
    </w:p>
    <w:p>
      <w:pPr>
        <w:pStyle w:val="FirstParagraph"/>
      </w:pPr>
      <w:r>
        <w:rPr>
          <w:b/>
          <w:bCs/>
        </w:rPr>
        <w:t xml:space="preserve">Partida de mano de obra del implementador</w:t>
      </w:r>
      <w:r>
        <w:t xml:space="preserve"> </w:t>
      </w:r>
      <w:r>
        <w:t xml:space="preserve">(tarifa media facturable de referencia:</w:t>
      </w:r>
      <w:r>
        <w:t xml:space="preserve"> </w:t>
      </w:r>
      <w:r>
        <w:rPr>
          <w:b/>
          <w:bCs/>
        </w:rPr>
        <w:t xml:space="preserve">30 €/h</w:t>
      </w:r>
      <w:r>
        <w:t xml:space="preserve">; ajustar al tarifario vigente):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 de mano de obra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Coste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herramientas e infraestructura mínima</w:t>
            </w:r>
          </w:p>
        </w:tc>
        <w:tc>
          <w:tcPr/>
          <w:p>
            <w:pPr>
              <w:pStyle w:val="Compact"/>
            </w:pPr>
            <w:r>
              <w:t xml:space="preserve">24–40 h</w:t>
            </w:r>
          </w:p>
        </w:tc>
        <w:tc>
          <w:tcPr/>
          <w:p>
            <w:pPr>
              <w:pStyle w:val="Compact"/>
            </w:pPr>
            <w:r>
              <w:t xml:space="preserve">720–1.200 €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 del proceso semanal (10 h/semana × 8–9 semanas)</w:t>
            </w:r>
          </w:p>
        </w:tc>
        <w:tc>
          <w:tcPr/>
          <w:p>
            <w:pPr>
              <w:pStyle w:val="Compact"/>
            </w:pPr>
            <w:r>
              <w:t xml:space="preserve">80–90 h</w:t>
            </w:r>
          </w:p>
        </w:tc>
        <w:tc>
          <w:tcPr/>
          <w:p>
            <w:pPr>
              <w:pStyle w:val="Compact"/>
            </w:pPr>
            <w:r>
              <w:t xml:space="preserve">2.400–2.700 €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de infraestructura, procedimientos y resultados</w:t>
            </w:r>
          </w:p>
        </w:tc>
        <w:tc>
          <w:tcPr/>
          <w:p>
            <w:pPr>
              <w:pStyle w:val="Compact"/>
            </w:pPr>
            <w:r>
              <w:t xml:space="preserve">16–24 h</w:t>
            </w:r>
          </w:p>
        </w:tc>
        <w:tc>
          <w:tcPr/>
          <w:p>
            <w:pPr>
              <w:pStyle w:val="Compact"/>
            </w:pPr>
            <w:r>
              <w:t xml:space="preserve">480–720 €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Propuesta de Cumplimiento GDPR (matriz por país + plantillas art. 14 + LIA)</w:t>
            </w:r>
          </w:p>
        </w:tc>
        <w:tc>
          <w:tcPr/>
          <w:p>
            <w:pPr>
              <w:pStyle w:val="Compact"/>
            </w:pPr>
            <w:r>
              <w:t xml:space="preserve">20–30 h</w:t>
            </w:r>
          </w:p>
        </w:tc>
        <w:tc>
          <w:tcPr/>
          <w:p>
            <w:pPr>
              <w:pStyle w:val="Compact"/>
            </w:pPr>
            <w:r>
              <w:t xml:space="preserve">600–900 €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mano de obra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140–184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4.200–5.520 €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Presupuesto total de la Fase 0: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Mano de obra del implementador (tabla anterior)</w:t>
            </w:r>
          </w:p>
        </w:tc>
        <w:tc>
          <w:tcPr/>
          <w:p>
            <w:pPr>
              <w:pStyle w:val="Compact"/>
            </w:pPr>
            <w:r>
              <w:t xml:space="preserve">4.200–5.520 €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(stack sección 5, 1 usuario, 2 meses)</w:t>
            </w:r>
          </w:p>
        </w:tc>
        <w:tc>
          <w:tcPr/>
          <w:p>
            <w:pPr>
              <w:pStyle w:val="Compact"/>
            </w:pPr>
            <w:r>
              <w:t xml:space="preserve">~600 €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legal externa de la Propuesta de Cumplimiento GDPR</w:t>
            </w:r>
          </w:p>
        </w:tc>
        <w:tc>
          <w:tcPr/>
          <w:p>
            <w:pPr>
              <w:pStyle w:val="Compact"/>
            </w:pPr>
            <w:r>
              <w:t xml:space="preserve">A cargo del cliente (no facturada, fuera de este presupuesto)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Fase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4.800–6.200 €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Puerta de decisión:</w:t>
      </w:r>
      <w:r>
        <w:t xml:space="preserve"> </w:t>
      </w:r>
      <w:r>
        <w:t xml:space="preserve">≥ 5 reuniones comerciales generadas. Si no se alcanzan,</w:t>
      </w:r>
      <w:r>
        <w:t xml:space="preserve"> </w:t>
      </w:r>
      <w:r>
        <w:rPr>
          <w:b/>
          <w:bCs/>
        </w:rPr>
        <w:t xml:space="preserve">no se contrata el desarrollo del sistema</w:t>
      </w:r>
      <w:r>
        <w:t xml:space="preserve"> </w:t>
      </w:r>
      <w:r>
        <w:t xml:space="preserve">y se revisa la propuesta de valor, no la tecnología. La infraestructura, la configuración y la documentación entregadas en Fase 0 quedan en propiedad del cliente y son reutilizables como base de la Fase 1.</w:t>
      </w:r>
    </w:p>
    <w:bookmarkEnd w:id="27"/>
    <w:bookmarkStart w:id="28" w:name="Xaf0da6c317f80e93cc9ea1c8925ad9931a6eedf"/>
    <w:p>
      <w:pPr>
        <w:pStyle w:val="Heading3"/>
      </w:pPr>
      <w:r>
        <w:t xml:space="preserve">Fase 1 — MVP con implementador (10–12 semanas + 6 meses de operación)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Implantación (precio cerrado objetivo; rango de negociación 45–55 k€)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50.000 €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6 meses (400–700 €/mes)</w:t>
            </w:r>
          </w:p>
        </w:tc>
        <w:tc>
          <w:tcPr/>
          <w:p>
            <w:pPr>
              <w:pStyle w:val="Compact"/>
            </w:pPr>
            <w:r>
              <w:t xml:space="preserve">~3.300 €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Hosting, backups, logging 6 meses</w:t>
            </w:r>
          </w:p>
        </w:tc>
        <w:tc>
          <w:tcPr/>
          <w:p>
            <w:pPr>
              <w:pStyle w:val="Compact"/>
            </w:pPr>
            <w:r>
              <w:t xml:space="preserve">~600 €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Mantenimiento implementador 6 meses (500–1.000 €/mes desde puesta en producción)</w:t>
            </w:r>
          </w:p>
        </w:tc>
        <w:tc>
          <w:tcPr/>
          <w:p>
            <w:pPr>
              <w:pStyle w:val="Compact"/>
            </w:pPr>
            <w:r>
              <w:t xml:space="preserve">~3.000 €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Contingencia (~10 %)</w:t>
            </w:r>
          </w:p>
        </w:tc>
        <w:tc>
          <w:tcPr/>
          <w:p>
            <w:pPr>
              <w:pStyle w:val="Compact"/>
            </w:pPr>
            <w:r>
              <w:t xml:space="preserve">5.000 €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Actualización de la Propuesta de Cumplimiento GDPR a la implementación real (implementador, ~16 h)</w:t>
            </w:r>
          </w:p>
        </w:tc>
        <w:tc>
          <w:tcPr/>
          <w:p>
            <w:pPr>
              <w:pStyle w:val="Compact"/>
            </w:pPr>
            <w:r>
              <w:t xml:space="preserve">500 €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legal externa de la implementación</w:t>
            </w:r>
          </w:p>
        </w:tc>
        <w:tc>
          <w:tcPr/>
          <w:p>
            <w:pPr>
              <w:pStyle w:val="Compact"/>
            </w:pPr>
            <w:r>
              <w:t xml:space="preserve">A cargo del cliente (no facturada)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Presupuesto de control Fase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65.000 €</w:t>
            </w:r>
          </w:p>
        </w:tc>
      </w:tr>
    </w:tbl>
    <w:p>
      <w:pPr>
        <w:pStyle w:val="BodyText"/>
      </w:pPr>
      <w:r>
        <w:t xml:space="preserve">Supuestos del precio cerrado: fuentes públicas + prensa/permisos (sin bases de pago), clasificador IA con salida estructurada, CRM Pipedrive, informe semanal, dashboard Looker Studio, matriz legal implementada como bloqueo de canal en CRM, manual operativo y formación. Bloques de trabajo y rangos unitarios: los de la tabla "coste de construcción" de la ver. 1 siguen siendo una referencia razonable para el desglose de la oferta.</w:t>
      </w:r>
    </w:p>
    <w:p>
      <w:pPr>
        <w:pStyle w:val="BodyText"/>
      </w:pPr>
      <w:r>
        <w:rPr>
          <w:b/>
          <w:bCs/>
        </w:rPr>
        <w:t xml:space="preserve">Puerta de decisión:</w:t>
      </w:r>
      <w:r>
        <w:t xml:space="preserve"> </w:t>
      </w:r>
      <w:r>
        <w:t xml:space="preserve">≥ 8 reuniones comerciales en los 3 primeros meses de operación.</w:t>
      </w:r>
    </w:p>
    <w:bookmarkEnd w:id="28"/>
    <w:bookmarkStart w:id="29" w:name="Xd10d91bee635d9f180b3ae6f00b3cf4a56afdfd"/>
    <w:p>
      <w:pPr>
        <w:pStyle w:val="Heading3"/>
      </w:pPr>
      <w:r>
        <w:t xml:space="preserve">Fase 2 — Profesionalización (solo tras superar la puerta)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Piloto de base privada (empezar por EIC DataStream; benchmark de 30 proyectos antes de cualquier base cara)</w:t>
            </w:r>
          </w:p>
        </w:tc>
        <w:tc>
          <w:tcPr/>
          <w:p>
            <w:pPr>
              <w:pStyle w:val="Compact"/>
            </w:pPr>
            <w:r>
              <w:t xml:space="preserve">5.000–25.000 €/año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Secuenciador outbound (solo NL/FR/BE/UK) + verificación de dominios/buzones</w:t>
            </w:r>
          </w:p>
        </w:tc>
        <w:tc>
          <w:tcPr/>
          <w:p>
            <w:pPr>
              <w:pStyle w:val="Compact"/>
            </w:pPr>
            <w:r>
              <w:t xml:space="preserve">100–300 €/mes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Mejoras técnicas (más fuentes, mejor deduplicación, scoring aprendido)</w:t>
            </w:r>
          </w:p>
        </w:tc>
        <w:tc>
          <w:tcPr/>
          <w:p>
            <w:pPr>
              <w:pStyle w:val="Compact"/>
            </w:pPr>
            <w:r>
              <w:t xml:space="preserve">15.000–35.000 €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Fase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25.000–60.000 €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b66ea4e7bbf07dd3a5530240db00a77b1892d59"/>
    <w:p>
      <w:pPr>
        <w:pStyle w:val="Heading2"/>
      </w:pPr>
      <w:r>
        <w:t xml:space="preserve">9. Exigencias contractuales al implementador</w:t>
      </w:r>
    </w:p>
    <w:p>
      <w:pPr>
        <w:pStyle w:val="FirstParagraph"/>
      </w:pPr>
      <w:r>
        <w:t xml:space="preserve">Se conservan las de la ver. 1 (eran de lo mejor del documento) y se añaden dos:</w:t>
      </w:r>
    </w:p>
    <w:p>
      <w:pPr>
        <w:pStyle w:val="Compact"/>
        <w:numPr>
          <w:ilvl w:val="0"/>
          <w:numId w:val="1006"/>
        </w:numPr>
      </w:pPr>
      <w:r>
        <w:t xml:space="preserve">Documento de arquitectura (fuentes, APIs, modelo de datos, seguridad, RGPD).</w:t>
      </w:r>
    </w:p>
    <w:p>
      <w:pPr>
        <w:pStyle w:val="Compact"/>
        <w:numPr>
          <w:ilvl w:val="0"/>
          <w:numId w:val="1006"/>
        </w:numPr>
      </w:pPr>
      <w:r>
        <w:t xml:space="preserve">Precio cerrado del MVP y coste mensual de mantenimiento.</w:t>
      </w:r>
    </w:p>
    <w:p>
      <w:pPr>
        <w:pStyle w:val="Compact"/>
        <w:numPr>
          <w:ilvl w:val="0"/>
          <w:numId w:val="1006"/>
        </w:numPr>
      </w:pPr>
      <w:r>
        <w:t xml:space="preserve">Costes unitarios: por 1.000 búsquedas web, por 1.000 contactos enriquecidos, por nueva fuente, por cambio de CRM.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Propiedad del código y de la base de datos</w:t>
      </w:r>
      <w:r>
        <w:t xml:space="preserve"> </w:t>
      </w:r>
      <w:r>
        <w:t xml:space="preserve">para Engineering Resources.</w:t>
      </w:r>
    </w:p>
    <w:p>
      <w:pPr>
        <w:pStyle w:val="Compact"/>
        <w:numPr>
          <w:ilvl w:val="0"/>
          <w:numId w:val="1006"/>
        </w:numPr>
      </w:pPr>
      <w:r>
        <w:t xml:space="preserve">Cláusula:</w:t>
      </w:r>
      <w:r>
        <w:t xml:space="preserve"> </w:t>
      </w:r>
      <w:r>
        <w:rPr>
          <w:b/>
          <w:bCs/>
        </w:rPr>
        <w:t xml:space="preserve">ningún dato sin fuente verificable</w:t>
      </w:r>
      <w:r>
        <w:t xml:space="preserve">; motor explicable (cada clasificación muestra su evidencia).</w:t>
      </w:r>
    </w:p>
    <w:p>
      <w:pPr>
        <w:pStyle w:val="Compact"/>
        <w:numPr>
          <w:ilvl w:val="0"/>
          <w:numId w:val="1006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Cumplimiento como requisito funcional:</w:t>
      </w:r>
      <w:r>
        <w:t xml:space="preserve"> </w:t>
      </w:r>
      <w:r>
        <w:t xml:space="preserve">matriz de canal por país implementada como bloqueo en CRM; nota GDPR por contacto; plantilla art. 14 en el primer mensaje; borrado automático a los 12 meses; lista de supresión.</w:t>
      </w:r>
    </w:p>
    <w:p>
      <w:pPr>
        <w:pStyle w:val="Compact"/>
        <w:numPr>
          <w:ilvl w:val="0"/>
          <w:numId w:val="1006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Criterio de aceptación medible</w:t>
      </w:r>
      <w:r>
        <w:t xml:space="preserve"> </w:t>
      </w:r>
      <w:r>
        <w:t xml:space="preserve">(los KPIs de la sección 10, no "el sistema funciona").</w:t>
      </w:r>
    </w:p>
    <w:p>
      <w:pPr>
        <w:pStyle w:val="Compact"/>
        <w:numPr>
          <w:ilvl w:val="0"/>
          <w:numId w:val="1006"/>
        </w:numPr>
      </w:pPr>
      <w:r>
        <w:t xml:space="preserve">Manual operativo: añadir fuentes, revisar errores, cambiar criterios, exportar leads.</w:t>
      </w:r>
    </w:p>
    <w:p>
      <w:pPr>
        <w:pStyle w:val="Compact"/>
        <w:numPr>
          <w:ilvl w:val="0"/>
          <w:numId w:val="1006"/>
        </w:numPr>
      </w:pPr>
      <w:r>
        <w:t xml:space="preserve">Sistema de alertas: informe semanal + alertas críticas en FEED/EPC/FID/construction start.</w:t>
      </w:r>
    </w:p>
    <w:p>
      <w:r>
        <w:pict>
          <v:rect style="width:0;height:1.5pt" o:hralign="center" o:hrstd="t" o:hr="t"/>
        </w:pict>
      </w:r>
    </w:p>
    <w:bookmarkEnd w:id="31"/>
    <w:bookmarkStart w:id="32" w:name="X3d12810198f0056a3a803e9b547efaf3a1145d9"/>
    <w:p>
      <w:pPr>
        <w:pStyle w:val="Heading2"/>
      </w:pPr>
      <w:r>
        <w:t xml:space="preserve">10. KPIs únicos (resuelve C6)</w:t>
      </w:r>
    </w:p>
    <w:p>
      <w:pPr>
        <w:pStyle w:val="FirstParagraph"/>
      </w:pPr>
      <w:r>
        <w:rPr>
          <w:b/>
          <w:bCs/>
        </w:rPr>
        <w:t xml:space="preserve">Semana tipo en régimen (a partir del mes 2 de operación):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Proyectos nuevos detectados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Cambios de fase relevantes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Empresas mapeadas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Contactos candidatos → validados</w:t>
            </w:r>
          </w:p>
        </w:tc>
        <w:tc>
          <w:tcPr/>
          <w:p>
            <w:pPr>
              <w:pStyle w:val="Compact"/>
            </w:pPr>
            <w:r>
              <w:t xml:space="preserve">100 →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Oportunidades priorizadas en CRM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/>
          <w:bCs/>
        </w:rPr>
        <w:t xml:space="preserve">Aceptación del MVP (cierre de Fase 1):</w:t>
      </w:r>
      <w:r>
        <w:t xml:space="preserve"> </w:t>
      </w:r>
      <w:r>
        <w:t xml:space="preserve">≥ 300 proyectos cualificados cargados y monitorizados; ≥ 50 oportunidades priorizadas acumuladas; ≥ 300 contactos validados con fuente y nota GDPR; CRM, informe semanal y dashboard operativos; matriz legal activa.</w:t>
      </w:r>
    </w:p>
    <w:p>
      <w:pPr>
        <w:pStyle w:val="BodyText"/>
      </w:pPr>
      <w:r>
        <w:rPr>
          <w:b/>
          <w:bCs/>
        </w:rPr>
        <w:t xml:space="preserve">Métrica de negocio (la única que justifica seguir invirtiendo):</w:t>
      </w:r>
      <w:r>
        <w:t xml:space="preserve"> </w:t>
      </w:r>
      <w:r>
        <w:t xml:space="preserve">reuniones comerciales — 5 en Fase 0, 8 por trimestre en Fase 1. Filosofía conservada de la ver. 1:</w:t>
      </w:r>
      <w:r>
        <w:t xml:space="preserve"> </w:t>
      </w:r>
      <w:r>
        <w:rPr>
          <w:i/>
          <w:iCs/>
        </w:rPr>
        <w:t xml:space="preserve">mejor 30 contactos buenos que 1.000 malos</w:t>
      </w:r>
      <w:r>
        <w:t xml:space="preserve">; si no salen reuniones, no se compra software más caro.</w:t>
      </w:r>
    </w:p>
    <w:p>
      <w:r>
        <w:pict>
          <v:rect style="width:0;height:1.5pt" o:hralign="center" o:hrstd="t" o:hr="t"/>
        </w:pict>
      </w:r>
    </w:p>
    <w:bookmarkEnd w:id="32"/>
    <w:bookmarkStart w:id="33" w:name="Xb7aa3159595f27796c23fa32464824a7092ef32"/>
    <w:p>
      <w:pPr>
        <w:pStyle w:val="Heading2"/>
      </w:pPr>
      <w:r>
        <w:t xml:space="preserve">11. Qué NO hacer (consolidado)</w:t>
      </w:r>
    </w:p>
    <w:p>
      <w:pPr>
        <w:pStyle w:val="Compact"/>
        <w:numPr>
          <w:ilvl w:val="0"/>
          <w:numId w:val="1007"/>
        </w:numPr>
      </w:pPr>
      <w:r>
        <w:t xml:space="preserve">Scraping de datos personales o automatización sobre LinkedIn.</w:t>
      </w:r>
    </w:p>
    <w:p>
      <w:pPr>
        <w:pStyle w:val="Compact"/>
        <w:numPr>
          <w:ilvl w:val="0"/>
          <w:numId w:val="1007"/>
        </w:numPr>
      </w:pPr>
      <w:r>
        <w:t xml:space="preserve">Email frío a personas nombradas en DE, DK, PL, IT (y ES sin relación previa).</w:t>
      </w:r>
    </w:p>
    <w:p>
      <w:pPr>
        <w:pStyle w:val="Compact"/>
        <w:numPr>
          <w:ilvl w:val="0"/>
          <w:numId w:val="1007"/>
        </w:numPr>
      </w:pPr>
      <w:r>
        <w:t xml:space="preserve">Enviar a emails no verificados o comprar listas masivas.</w:t>
      </w:r>
    </w:p>
    <w:p>
      <w:pPr>
        <w:pStyle w:val="Compact"/>
        <w:numPr>
          <w:ilvl w:val="0"/>
          <w:numId w:val="1007"/>
        </w:numPr>
      </w:pPr>
      <w:r>
        <w:t xml:space="preserve">Contratar GlobalData/Rystad/WoodMac/ZoomInfo/Salesforce antes de validar el canal.</w:t>
      </w:r>
    </w:p>
    <w:p>
      <w:pPr>
        <w:pStyle w:val="Compact"/>
        <w:numPr>
          <w:ilvl w:val="0"/>
          <w:numId w:val="1007"/>
        </w:numPr>
      </w:pPr>
      <w:r>
        <w:t xml:space="preserve">Construir IA totalmente autónoma sin validación humana.</w:t>
      </w:r>
    </w:p>
    <w:p>
      <w:pPr>
        <w:pStyle w:val="Compact"/>
        <w:numPr>
          <w:ilvl w:val="0"/>
          <w:numId w:val="1007"/>
        </w:numPr>
      </w:pPr>
      <w:r>
        <w:t xml:space="preserve">Confiar en TED como fuente principal de proyectos privados.</w:t>
      </w:r>
    </w:p>
    <w:p>
      <w:pPr>
        <w:pStyle w:val="Compact"/>
        <w:numPr>
          <w:ilvl w:val="0"/>
          <w:numId w:val="1007"/>
        </w:numPr>
      </w:pPr>
      <w:r>
        <w:t xml:space="preserve">Aprobar presupuestos sin costes unitarios, propiedad del código y criterios de aceptación medibles.</w:t>
      </w:r>
    </w:p>
    <w:p>
      <w:pPr>
        <w:pStyle w:val="Compact"/>
        <w:numPr>
          <w:ilvl w:val="0"/>
          <w:numId w:val="1007"/>
        </w:numPr>
      </w:pPr>
      <w:r>
        <w:t xml:space="preserve">Citar precios de herramientas sin verificarlos con el proveedor.</w:t>
      </w:r>
    </w:p>
    <w:p>
      <w:r>
        <w:pict>
          <v:rect style="width:0;height:1.5pt" o:hralign="center" o:hrstd="t" o:hr="t"/>
        </w:pict>
      </w:r>
    </w:p>
    <w:bookmarkEnd w:id="33"/>
    <w:bookmarkStart w:id="34" w:name="X810245907d5d55d2e753686d20e7889e1a9cdd1"/>
    <w:p>
      <w:pPr>
        <w:pStyle w:val="Heading2"/>
      </w:pPr>
      <w:r>
        <w:t xml:space="preserve">12. Novedades de esta versión respecto al documento original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Novedad</w:t>
            </w:r>
          </w:p>
        </w:tc>
        <w:tc>
          <w:tcPr/>
          <w:p>
            <w:pPr>
              <w:pStyle w:val="Compact"/>
            </w:pPr>
            <w:r>
              <w:t xml:space="preserve">Sustituye / añade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Matriz legal de canal por país (ePrivacy/UWG/LSSI/PECR…)</w:t>
            </w:r>
            <w:r>
              <w:t xml:space="preserve"> </w:t>
            </w:r>
            <w:r>
              <w:t xml:space="preserve">implementada en el sistema</w:t>
            </w:r>
          </w:p>
        </w:tc>
        <w:tc>
          <w:tcPr/>
          <w:p>
            <w:pPr>
              <w:pStyle w:val="Compact"/>
            </w:pPr>
            <w:r>
              <w:t xml:space="preserve">Añade la capa legal que faltaba; cambia el playbook de DE/DK a LinkedIn + 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Deber de información del art. 14 RGPD</w:t>
            </w:r>
            <w:r>
              <w:t xml:space="preserve"> </w:t>
            </w:r>
            <w:r>
              <w:t xml:space="preserve">en el primer contacto</w:t>
            </w:r>
          </w:p>
        </w:tc>
        <w:tc>
          <w:tcPr/>
          <w:p>
            <w:pPr>
              <w:pStyle w:val="Compact"/>
            </w:pPr>
            <w:r>
              <w:t xml:space="preserve">Omitido en la ver.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Dropcontact</w:t>
            </w:r>
            <w:r>
              <w:t xml:space="preserve"> </w:t>
            </w:r>
            <w:r>
              <w:t xml:space="preserve">como enriquecedor de emails GDPR-first</w:t>
            </w:r>
          </w:p>
        </w:tc>
        <w:tc>
          <w:tcPr/>
          <w:p>
            <w:pPr>
              <w:pStyle w:val="Compact"/>
            </w:pPr>
            <w:r>
              <w:t xml:space="preserve">Sustituye a Apollo como fuente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Registros nacionales de permisos</w:t>
            </w:r>
            <w:r>
              <w:t xml:space="preserve"> </w:t>
            </w:r>
            <w:r>
              <w:t xml:space="preserve">(RVO, UVP, NSIP, NVE…) como señal temprana gratuita</w:t>
            </w:r>
          </w:p>
        </w:tc>
        <w:tc>
          <w:tcPr/>
          <w:p>
            <w:pPr>
              <w:pStyle w:val="Compact"/>
            </w:pPr>
            <w:r>
              <w:t xml:space="preserve">Fuente nueva, coste cero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EIC DataStream</w:t>
            </w:r>
            <w:r>
              <w:t xml:space="preserve"> </w:t>
            </w:r>
            <w:r>
              <w:t xml:space="preserve">como primera base de pago (bajo coste, orientada a cadena de suministro) y</w:t>
            </w:r>
            <w:r>
              <w:t xml:space="preserve"> </w:t>
            </w:r>
            <w:r>
              <w:rPr>
                <w:b/>
                <w:bCs/>
              </w:rPr>
              <w:t xml:space="preserve">4C Offshore</w:t>
            </w:r>
            <w:r>
              <w:t xml:space="preserve"> </w:t>
            </w:r>
            <w:r>
              <w:t xml:space="preserve">para eólica marina</w:t>
            </w:r>
          </w:p>
        </w:tc>
        <w:tc>
          <w:tcPr/>
          <w:p>
            <w:pPr>
              <w:pStyle w:val="Compact"/>
            </w:pPr>
            <w:r>
              <w:t xml:space="preserve">Alternativa al salto directo a bases de 30–150 k€/año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de Claude: Haiku para clasificación masiva (con Batch API −50 %) y Opus para el informe semanal</w:t>
            </w:r>
          </w:p>
        </w:tc>
        <w:tc>
          <w:tcPr/>
          <w:p>
            <w:pPr>
              <w:pStyle w:val="Compact"/>
            </w:pPr>
            <w:r>
              <w:t xml:space="preserve">Sustituye el genérico "OpenAI API"; aplica con datos la regla "modelo barato para volumen, potente para análisis"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Looker Studio (0 €)</w:t>
            </w:r>
            <w:r>
              <w:t xml:space="preserve"> </w:t>
            </w:r>
            <w:r>
              <w:t xml:space="preserve">como dashboard único</w:t>
            </w:r>
          </w:p>
        </w:tc>
        <w:tc>
          <w:tcPr/>
          <w:p>
            <w:pPr>
              <w:pStyle w:val="Compact"/>
            </w:pPr>
            <w:r>
              <w:t xml:space="preserve">Cierra la triple opción Power BI/Looker/Metabase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Alertas y prensa en idiomas locales</w:t>
            </w:r>
          </w:p>
        </w:tc>
        <w:tc>
          <w:tcPr/>
          <w:p>
            <w:pPr>
              <w:pStyle w:val="Compact"/>
            </w:pPr>
            <w:r>
              <w:t xml:space="preserve">El monitoreo solo en inglés pierde permisos y prensa regional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0 obligatoria con puerta de decisión, operada por el equipo del implementador</w:t>
            </w:r>
            <w:r>
              <w:t xml:space="preserve"> </w:t>
            </w:r>
            <w:r>
              <w:t xml:space="preserve">como servicio facturable: configuración, infraestructura mínima, operación de 10 h/semana y documentación de procedimientos y resultados</w:t>
            </w:r>
          </w:p>
        </w:tc>
        <w:tc>
          <w:tcPr/>
          <w:p>
            <w:pPr>
              <w:pStyle w:val="Compact"/>
            </w:pPr>
            <w:r>
              <w:t xml:space="preserve">Convierte el "DIY" opcional en un servicio medible de validación del 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 y Noruega dentro del alcance</w:t>
            </w:r>
            <w:r>
              <w:t xml:space="preserve"> </w:t>
            </w:r>
            <w:r>
              <w:t xml:space="preserve">con tiers de países únicos</w:t>
            </w:r>
          </w:p>
        </w:tc>
        <w:tc>
          <w:tcPr/>
          <w:p>
            <w:pPr>
              <w:pStyle w:val="Compact"/>
            </w:pPr>
            <w:r>
              <w:t xml:space="preserve">Resuelve la ambigüedad Europa/UE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 presupuesto, un stack, unos KPIs</w:t>
            </w:r>
          </w:p>
        </w:tc>
        <w:tc>
          <w:tcPr/>
          <w:p>
            <w:pPr>
              <w:pStyle w:val="Compact"/>
            </w:pPr>
            <w:r>
              <w:t xml:space="preserve">Elimina las cuatro cifras de MVP, las herramientas duplicadas y los volúmenes incoherentes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Corrección terminológica:</w:t>
            </w:r>
            <w:r>
              <w:t xml:space="preserve"> </w:t>
            </w:r>
            <w:r>
              <w:rPr>
                <w:b/>
                <w:bCs/>
              </w:rPr>
              <w:t xml:space="preserve">pre-FEED/feasibility</w:t>
            </w:r>
            <w:r>
              <w:t xml:space="preserve"> </w:t>
            </w:r>
            <w:r>
              <w:t xml:space="preserve">(no "FED")</w:t>
            </w:r>
          </w:p>
        </w:tc>
        <w:tc>
          <w:tcPr/>
          <w:p>
            <w:pPr>
              <w:pStyle w:val="Compact"/>
            </w:pPr>
            <w:r>
              <w:t xml:space="preserve">Evita el error de vocabulario ante clientes del sector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Propuesta de Cumplimiento GDPR elaborada por el implementador</w:t>
            </w:r>
            <w:r>
              <w:t xml:space="preserve"> </w:t>
            </w:r>
            <w:r>
              <w:t xml:space="preserve">(partida propia), con validación legal externa a cargo del cliente y no facturada</w:t>
            </w:r>
          </w:p>
        </w:tc>
        <w:tc>
          <w:tcPr/>
          <w:p>
            <w:pPr>
              <w:pStyle w:val="Compact"/>
            </w:pPr>
            <w:r>
              <w:t xml:space="preserve">Sustituye la partida genérica de "asesoría legal externa" de 1.500–3.000 €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2026-07-07T02:50:34Z</dcterms:created>
  <dcterms:modified xsi:type="dcterms:W3CDTF">2026-07-07T02:50:34Z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