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D'ENTRETIEN : Experts</w:t>
      </w:r>
    </w:p>
    <w:p>
      <w:pPr>
        <w:pStyle w:val="Subtitle"/>
        <w:jc w:val="center"/>
      </w:pPr>
      <w:r>
        <w:t>Projet OASE - Phase Diagnostique</w:t>
        <w:br/>
        <w:t>Experts Fiscaux et Douaniers (Analyse technique et juridique)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pPr>
        <w:pStyle w:val="Heading1"/>
      </w:pPr>
      <w:r>
        <w:rPr>
          <w:color w:val="0070C0"/>
        </w:rPr>
        <w:t>Questions de l'entretien</w:t>
      </w:r>
    </w:p>
    <w:p>
      <w:pPr>
        <w:pStyle w:val="ListBullet"/>
      </w:pPr>
      <w:r>
        <w:t>Quelles sont les principales failles juridiques ou procédurales dans le système actuel d'exonérations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Comment jugez-vous l'efficacité des contrôles a posteriori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solutions technologiques recommandez-vous pour l'automatisation du suivi (OASE)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bonnes pratiques internationales pourraient être adaptées au contexte national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