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Besoins en Informations Documentaires (Enrichi)</w:t>
      </w:r>
    </w:p>
    <w:p>
      <w:pPr>
        <w:pStyle w:val="Subtitle"/>
        <w:jc w:val="center"/>
      </w:pPr>
      <w:r>
        <w:t>Projet OASE - Collecte Documentaire</w:t>
      </w:r>
    </w:p>
    <w:p>
      <w:pPr>
        <w:pStyle w:val="Heading1"/>
      </w:pPr>
      <w:r>
        <w:t>Code /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 /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Documents Précis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CGI</w:t>
            </w:r>
          </w:p>
        </w:tc>
        <w:tc>
          <w:tcPr>
            <w:tcW w:type="dxa" w:w="1440"/>
          </w:tcPr>
          <w:p>
            <w:r>
              <w:t>Code général des impôts en vigueur (version consolidée) + avenants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UPF / DGD (OTR)</w:t>
            </w:r>
          </w:p>
        </w:tc>
        <w:tc>
          <w:tcPr>
            <w:tcW w:type="dxa" w:w="1440"/>
          </w:tcPr>
          <w:p>
            <w:r>
              <w:t>Code des douanes</w:t>
            </w:r>
          </w:p>
        </w:tc>
        <w:tc>
          <w:tcPr>
            <w:tcW w:type="dxa" w:w="1440"/>
          </w:tcPr>
          <w:p>
            <w:r>
              <w:t>Code des douanes national (CDN) + tarifs extérieur commun UEMOA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OTR (Direction des douanes)</w:t>
            </w:r>
          </w:p>
        </w:tc>
        <w:tc>
          <w:tcPr>
            <w:tcW w:type="dxa" w:w="1440"/>
          </w:tcPr>
          <w:p>
            <w:r>
              <w:t>Codes sectoriels</w:t>
            </w:r>
          </w:p>
        </w:tc>
        <w:tc>
          <w:tcPr>
            <w:tcW w:type="dxa" w:w="1440"/>
          </w:tcPr>
          <w:p>
            <w:r>
              <w:t>Code des investissements, Code minier, Code des hydrocarbures, Code de l’environnement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Ministère des Mines, Ministère de l’Environnement, API-ZF</w:t>
            </w:r>
          </w:p>
        </w:tc>
        <w:tc>
          <w:tcPr>
            <w:tcW w:type="dxa" w:w="1440"/>
          </w:tcPr>
          <w:p>
            <w:r>
              <w:t>Lois de finances</w:t>
            </w:r>
          </w:p>
        </w:tc>
        <w:tc>
          <w:tcPr>
            <w:tcW w:type="dxa" w:w="1440"/>
          </w:tcPr>
          <w:p>
            <w:r>
              <w:t>LFI 2015 à LFI 2026 (parties relatives aux exonérations, reports, abrogations)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DGBF / UPF</w:t>
            </w:r>
          </w:p>
        </w:tc>
        <w:tc>
          <w:tcPr>
            <w:tcW w:type="dxa" w:w="1440"/>
          </w:tcPr>
          <w:p>
            <w:r>
              <w:t>Décrets et arrêtés</w:t>
            </w:r>
          </w:p>
        </w:tc>
        <w:tc>
          <w:tcPr>
            <w:tcW w:type="dxa" w:w="1440"/>
          </w:tcPr>
          <w:p>
            <w:r>
              <w:t>Décrets d’application des exonérations (ex : décrets d’agrément spécifiques), arrêtés interministériels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Secrétariat général du MEF, API-ZF, SAZOF</w:t>
            </w:r>
          </w:p>
        </w:tc>
        <w:tc>
          <w:tcPr>
            <w:tcW w:type="dxa" w:w="1440"/>
          </w:tcPr>
          <w:p>
            <w:r>
              <w:t>Conventions internationales</w:t>
            </w:r>
          </w:p>
        </w:tc>
        <w:tc>
          <w:tcPr>
            <w:tcW w:type="dxa" w:w="1440"/>
          </w:tcPr>
          <w:p>
            <w:r>
              <w:t>Conventions bilatérales (non double imposition, investissement), accords multilatéraux (OMC, CEDEAO, UEMOA)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UPF / Direction des affaires juridiques (MEF) / MAECI</w:t>
            </w:r>
          </w:p>
        </w:tc>
        <w:tc>
          <w:tcPr>
            <w:tcW w:type="dxa" w:w="1440"/>
          </w:tcPr>
          <w:p>
            <w:r>
              <w:t>Accords spécifiques</w:t>
            </w:r>
          </w:p>
        </w:tc>
        <w:tc>
          <w:tcPr>
            <w:tcW w:type="dxa" w:w="1440"/>
          </w:tcPr>
          <w:p>
            <w:r>
              <w:t>Protocoles d’accord signés avec entreprises (zones franches, ZES, grands projets)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API-ZF, SAZOF, OTR</w:t>
            </w:r>
          </w:p>
        </w:tc>
        <w:tc>
          <w:tcPr>
            <w:tcW w:type="dxa" w:w="1440"/>
          </w:tcPr>
          <w:p>
            <w:r>
              <w:t>Documents procéduraux et institutionnels (circuits d’octroi et suivi)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Documents précis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Manuels de procédures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Manuel d’octroi des exonérations (OTR), manuel de suivi des conventions d’investissement (API-ZF), procédure de validation budgétaire (DGBF)</w:t>
            </w:r>
          </w:p>
        </w:tc>
        <w:tc>
          <w:tcPr>
            <w:tcW w:type="dxa" w:w="1440"/>
          </w:tcPr>
          <w:p>
            <w:r>
              <w:t>OTR, API-ZF, DGBF</w:t>
            </w:r>
          </w:p>
        </w:tc>
        <w:tc>
          <w:tcPr>
            <w:tcW w:type="dxa" w:w="1440"/>
          </w:tcPr>
          <w:p>
            <w:r>
              <w:t>Organigrammes fonctionnels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Organigrammes détaillés des services impliqués (UPF, OTR, DGBF, DGTCP, API-ZF, SAZOF, DSI)</w:t>
            </w:r>
          </w:p>
        </w:tc>
        <w:tc>
          <w:tcPr>
            <w:tcW w:type="dxa" w:w="1440"/>
          </w:tcPr>
          <w:p>
            <w:r>
              <w:t>DRH de chaque structure</w:t>
            </w:r>
          </w:p>
        </w:tc>
        <w:tc>
          <w:tcPr>
            <w:tcW w:type="dxa" w:w="1440"/>
          </w:tcPr>
          <w:p>
            <w:r>
              <w:t>Circuits de signature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Documents formalisant les workflows (lettres d’octroi, visas, délais)</w:t>
            </w:r>
          </w:p>
        </w:tc>
        <w:tc>
          <w:tcPr>
            <w:tcW w:type="dxa" w:w="1440"/>
          </w:tcPr>
          <w:p>
            <w:r>
              <w:t>Secrétariats généraux</w:t>
            </w:r>
          </w:p>
        </w:tc>
        <w:tc>
          <w:tcPr>
            <w:tcW w:type="dxa" w:w="1440"/>
          </w:tcPr>
          <w:p>
            <w:r>
              <w:t>Registres actuels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Registres papier ou Excel tenus actuellement (listes des exonérations accordées, bénéficiaires, montants)</w:t>
            </w:r>
          </w:p>
        </w:tc>
        <w:tc>
          <w:tcPr>
            <w:tcW w:type="dxa" w:w="1440"/>
          </w:tcPr>
          <w:p>
            <w:r>
              <w:t>UPF, OTR, API-ZF</w:t>
            </w:r>
          </w:p>
        </w:tc>
        <w:tc>
          <w:tcPr>
            <w:tcW w:type="dxa" w:w="1440"/>
          </w:tcPr>
          <w:p>
            <w:r>
              <w:t>Données fiscales, douanières et budgétaires (quantification)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</w:tbl>
    <w:p>
      <w:pPr>
        <w:pStyle w:val="Heading1"/>
      </w:pPr>
      <w:r>
        <w:t>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 /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Documents Précis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Statistiques de recettes</w:t>
            </w:r>
          </w:p>
        </w:tc>
        <w:tc>
          <w:tcPr>
            <w:tcW w:type="dxa" w:w="1440"/>
          </w:tcPr>
          <w:p>
            <w:r>
              <w:t>Séries annuelles/mensuelles des recettes fiscales et douanières (2020-2025) par impôt, par secteur, par régime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OTR (Direction des études et statistiques)</w:t>
            </w:r>
          </w:p>
        </w:tc>
        <w:tc>
          <w:tcPr>
            <w:tcW w:type="dxa" w:w="1440"/>
          </w:tcPr>
          <w:p>
            <w:r>
              <w:t>Exonérations liquidées</w:t>
            </w:r>
          </w:p>
        </w:tc>
        <w:tc>
          <w:tcPr>
            <w:tcW w:type="dxa" w:w="1440"/>
          </w:tcPr>
          <w:p>
            <w:r>
              <w:t>Relevés SYDONIA des exonérations douanières (montants par bénéficiaire, produit, pays)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OTR Douanes</w:t>
            </w:r>
          </w:p>
        </w:tc>
        <w:tc>
          <w:tcPr>
            <w:tcW w:type="dxa" w:w="1440"/>
          </w:tcPr>
          <w:p>
            <w:r>
              <w:t>Exonérations fiscales internes</w:t>
            </w:r>
          </w:p>
        </w:tc>
        <w:tc>
          <w:tcPr>
            <w:tcW w:type="dxa" w:w="1440"/>
          </w:tcPr>
          <w:p>
            <w:r>
              <w:t>État des exonérations TVA, IS, IRCM (agréments, conventions) extrait de SIGTAS / plateforme TVA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OTR Impôts</w:t>
            </w:r>
          </w:p>
        </w:tc>
        <w:tc>
          <w:tcPr>
            <w:tcW w:type="dxa" w:w="1440"/>
          </w:tcPr>
          <w:p>
            <w:r>
              <w:t>Dépenses fiscales évaluées</w:t>
            </w:r>
          </w:p>
        </w:tc>
        <w:tc>
          <w:tcPr>
            <w:tcW w:type="dxa" w:w="1440"/>
          </w:tcPr>
          <w:p>
            <w:r>
              <w:t>Rapports annuels du CONEDEF (2019, 2020, 2021, 2022, 2023, 2024)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UPF / CONEDEF</w:t>
            </w:r>
          </w:p>
        </w:tc>
        <w:tc>
          <w:tcPr>
            <w:tcW w:type="dxa" w:w="1440"/>
          </w:tcPr>
          <w:p>
            <w:r>
              <w:t>Données budgétaires</w:t>
            </w:r>
          </w:p>
        </w:tc>
        <w:tc>
          <w:tcPr>
            <w:tcW w:type="dxa" w:w="1440"/>
          </w:tcPr>
          <w:p>
            <w:r>
              <w:t>Lois de finances initiales et rectificatives (tableaux des dépenses fiscales), rapports d’exécution budgétaire (SIGFiP)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DGBF / DGTCP</w:t>
            </w:r>
          </w:p>
        </w:tc>
        <w:tc>
          <w:tcPr>
            <w:tcW w:type="dxa" w:w="1440"/>
          </w:tcPr>
          <w:p>
            <w:r>
              <w:t>Statistiques macro</w:t>
            </w:r>
          </w:p>
        </w:tc>
        <w:tc>
          <w:tcPr>
            <w:tcW w:type="dxa" w:w="1440"/>
          </w:tcPr>
          <w:p>
            <w:r>
              <w:t>PIB sectoriel, FBCF, emploi (pour calcul d’impact) – INSEED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INSEED</w:t>
            </w:r>
          </w:p>
        </w:tc>
        <w:tc>
          <w:tcPr>
            <w:tcW w:type="dxa" w:w="1440"/>
          </w:tcPr>
          <w:p>
            <w:r>
              <w:t>Documents techniques et systèmes d’information (interopérabilité)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Documents précis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SYDONIA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Documentation technique (modèle de données, tables exonérations, API, webservices), droits d’accès à l’environnement de test</w:t>
            </w:r>
          </w:p>
        </w:tc>
        <w:tc>
          <w:tcPr>
            <w:tcW w:type="dxa" w:w="1440"/>
          </w:tcPr>
          <w:p>
            <w:r>
              <w:t>OTR Douanes / DSI MEF</w:t>
            </w:r>
          </w:p>
        </w:tc>
        <w:tc>
          <w:tcPr>
            <w:tcW w:type="dxa" w:w="1440"/>
          </w:tcPr>
          <w:p>
            <w:r>
              <w:t>SIGFiP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Manuel d’utilisation, schéma de base de données (tables des opérations budgétaires et dépenses fiscales), spécifications d’interfaçage</w:t>
            </w:r>
          </w:p>
        </w:tc>
        <w:tc>
          <w:tcPr>
            <w:tcW w:type="dxa" w:w="1440"/>
          </w:tcPr>
          <w:p>
            <w:r>
              <w:t>DGBF / DSI MEF</w:t>
            </w:r>
          </w:p>
        </w:tc>
        <w:tc>
          <w:tcPr>
            <w:tcW w:type="dxa" w:w="1440"/>
          </w:tcPr>
          <w:p>
            <w:r>
              <w:t>GUDEF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Même type que SIGFiP (gestion unifiée des dépenses de l’État)</w:t>
            </w:r>
          </w:p>
        </w:tc>
        <w:tc>
          <w:tcPr>
            <w:tcW w:type="dxa" w:w="1440"/>
          </w:tcPr>
          <w:p>
            <w:r>
              <w:t>DGTCP / DSI</w:t>
            </w:r>
          </w:p>
        </w:tc>
        <w:tc>
          <w:tcPr>
            <w:tcW w:type="dxa" w:w="1440"/>
          </w:tcPr>
          <w:p>
            <w:r>
              <w:t>SIGTAS(impôts)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Documentation sur les exonérations dans SIGTAS, possibilité d’extraction automatisée</w:t>
            </w:r>
          </w:p>
        </w:tc>
        <w:tc>
          <w:tcPr>
            <w:tcW w:type="dxa" w:w="1440"/>
          </w:tcPr>
          <w:p>
            <w:r>
              <w:t>OTR Impôts</w:t>
            </w:r>
          </w:p>
        </w:tc>
        <w:tc>
          <w:tcPr>
            <w:tcW w:type="dxa" w:w="1440"/>
          </w:tcPr>
          <w:p>
            <w:r>
              <w:t>Architecture SI MEF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Plan d’urbanisation, normes de sécurité, guide de développement, politique de mot de passe, annuaire LDAP/AD</w:t>
            </w:r>
          </w:p>
        </w:tc>
        <w:tc>
          <w:tcPr>
            <w:tcW w:type="dxa" w:w="1440"/>
          </w:tcPr>
          <w:p>
            <w:r>
              <w:t>DSI MEF</w:t>
            </w:r>
          </w:p>
        </w:tc>
        <w:tc>
          <w:tcPr>
            <w:tcW w:type="dxa" w:w="1440"/>
          </w:tcPr>
          <w:p>
            <w:r>
              <w:t>Inventaire serveurs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Environnement de production et de test (OS, SGBD, capacités)</w:t>
            </w:r>
          </w:p>
        </w:tc>
        <w:tc>
          <w:tcPr>
            <w:tcW w:type="dxa" w:w="1440"/>
          </w:tcPr>
          <w:p>
            <w:r>
              <w:t>DSI MEF</w:t>
            </w:r>
          </w:p>
        </w:tc>
        <w:tc>
          <w:tcPr>
            <w:tcW w:type="dxa" w:w="1440"/>
          </w:tcPr>
          <w:p>
            <w:r>
              <w:t>Documents stratégiques et de pilotage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</w:tbl>
    <w:p>
      <w:pPr>
        <w:pStyle w:val="Heading1"/>
      </w:pPr>
      <w:r>
        <w:t>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 /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Documents Précis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Stratégie nationale</w:t>
            </w:r>
          </w:p>
        </w:tc>
        <w:tc>
          <w:tcPr>
            <w:tcW w:type="dxa" w:w="1440"/>
          </w:tcPr>
          <w:p>
            <w:r>
              <w:t>SRMT 2026-2030, PMR 2025-2026, Lettre de politique fiscale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UPF / MEF</w:t>
            </w:r>
          </w:p>
        </w:tc>
        <w:tc>
          <w:tcPr>
            <w:tcW w:type="dxa" w:w="1440"/>
          </w:tcPr>
          <w:p>
            <w:r>
              <w:t>Accords avec le FMI</w:t>
            </w:r>
          </w:p>
        </w:tc>
        <w:tc>
          <w:tcPr>
            <w:tcW w:type="dxa" w:w="1440"/>
          </w:tcPr>
          <w:p>
            <w:r>
              <w:t>Programme FEC 2024-2027, lettres d’intention, mémorandums techniques (benchmarks exonérations)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UPF / Direction de la coopération</w:t>
            </w:r>
          </w:p>
        </w:tc>
        <w:tc>
          <w:tcPr>
            <w:tcW w:type="dxa" w:w="1440"/>
          </w:tcPr>
          <w:p>
            <w:r>
              <w:t>Rapports d’évaluation</w:t>
            </w:r>
          </w:p>
        </w:tc>
        <w:tc>
          <w:tcPr>
            <w:tcW w:type="dxa" w:w="1440"/>
          </w:tcPr>
          <w:p>
            <w:r>
              <w:t>Banque mondiale (PEFA fisc, rapport sur la gestion des dépenses fiscales), rapports d’audit de la Cour des comptes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Direction des études / Cour des comptes</w:t>
            </w:r>
          </w:p>
        </w:tc>
        <w:tc>
          <w:tcPr>
            <w:tcW w:type="dxa" w:w="1440"/>
          </w:tcPr>
          <w:p>
            <w:r>
              <w:t>Feuilles de route UEMOA</w:t>
            </w:r>
          </w:p>
        </w:tc>
        <w:tc>
          <w:tcPr>
            <w:tcW w:type="dxa" w:w="1440"/>
          </w:tcPr>
          <w:p>
            <w:r>
              <w:t>Directives relatives à l’harmonisation des dépenses fiscales, décisions du conseil des ministres de l’UEMOA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UPF / Ministère des Affaires étrangères</w:t>
            </w:r>
          </w:p>
        </w:tc>
        <w:tc>
          <w:tcPr>
            <w:tcW w:type="dxa" w:w="1440"/>
          </w:tcPr>
          <w:p>
            <w:r>
              <w:t>1.6e gouvernance et contrôle intern</w:t>
            </w:r>
          </w:p>
        </w:tc>
        <w:tc>
          <w:tcPr>
            <w:tcW w:type="dxa" w:w="1440"/>
          </w:tcPr>
          <w:p>
            <w:r>
              <w:t>Documents de gouvernance et contrôle interne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</w:tbl>
    <w:p>
      <w:pPr>
        <w:pStyle w:val="Heading1"/>
      </w:pPr>
      <w:r>
        <w:t>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 /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Documents Précis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Chartes</w:t>
            </w:r>
          </w:p>
        </w:tc>
        <w:tc>
          <w:tcPr>
            <w:tcW w:type="dxa" w:w="1440"/>
          </w:tcPr>
          <w:p>
            <w:r>
              <w:t>Charte informatique, charte des données personnelles (si applicable)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DSI MEF</w:t>
            </w:r>
          </w:p>
        </w:tc>
        <w:tc>
          <w:tcPr>
            <w:tcW w:type="dxa" w:w="1440"/>
          </w:tcPr>
          <w:p>
            <w:r>
              <w:t>Registres d’accès</w:t>
            </w:r>
          </w:p>
        </w:tc>
        <w:tc>
          <w:tcPr>
            <w:tcW w:type="dxa" w:w="1440"/>
          </w:tcPr>
          <w:p>
            <w:r>
              <w:t>Logs d’accès aux bases sensibles (SYDONIA, SIGTAS)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  <w:tr>
        <w:tc>
          <w:tcPr>
            <w:tcW w:type="dxa" w:w="1440"/>
          </w:tcPr>
          <w:p>
            <w:r>
              <w:t>OTR / DSI</w:t>
            </w:r>
          </w:p>
        </w:tc>
        <w:tc>
          <w:tcPr>
            <w:tcW w:type="dxa" w:w="1440"/>
          </w:tcPr>
          <w:p>
            <w:r>
              <w:t>Rapports de contrôle</w:t>
            </w:r>
          </w:p>
        </w:tc>
        <w:tc>
          <w:tcPr>
            <w:tcW w:type="dxa" w:w="1440"/>
          </w:tcPr>
          <w:p>
            <w:r>
              <w:t>Inspections des finances, rapports de l’IGF sur les exonérations</w:t>
            </w:r>
          </w:p>
        </w:tc>
        <w:tc>
          <w:tcPr>
            <w:tcW w:type="dxa" w:w="1440"/>
          </w:tcPr>
          <w:p>
            <w:r>
              <w:t>Haute/Moy/Basse</w:t>
            </w:r>
          </w:p>
        </w:tc>
        <w:tc>
          <w:tcPr>
            <w:tcW w:type="dxa" w:w="1440"/>
          </w:tcPr>
          <w:p>
            <w:r>
              <w:t>À collecter</w:t>
            </w:r>
          </w:p>
        </w:tc>
        <w:tc>
          <w:tcPr>
            <w:tcW w:type="dxa" w:w="1440"/>
          </w:tcPr>
          <w:p>
            <w:r>
              <w:t>..................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