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10 – Cour des comptes [NOUVELLE]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Recueillir les observations d’audit indépendant sur la gouvernance des exonérations et identifier les failles systémiques documentées dans les rapports publics.</w:t>
      </w:r>
    </w:p>
    <w:p>
      <w:r>
        <w:rPr>
          <w:b/>
        </w:rPr>
        <w:t xml:space="preserve">Durée : </w:t>
      </w:r>
      <w:r>
        <w:t>1h00</w:t>
      </w:r>
    </w:p>
    <w:p>
      <w:r>
        <w:rPr>
          <w:b/>
        </w:rPr>
        <w:t xml:space="preserve">Acteurs : </w:t>
      </w:r>
      <w:r>
        <w:t>Président de section finances publiques, rapporteur exonérations ou fiscalité.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Observations d’audit sur les exonérations</w:t>
      </w:r>
    </w:p>
    <w:p>
      <w:pPr>
        <w:pStyle w:val="ListBullet"/>
      </w:pPr>
      <w:r>
        <w:t>Les rapports de la Cour des comptes ont-ils traité spécifiquement des exonérations fiscales et douanières ? Dans quels rapports et pour quelles années d’exercice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anomalies ont été les plus fréquemment relevées ? (octroi sans base légale, absence de suivi, non-respect des conditions d’octroi, fraudes documentées)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Réponses des institutions auditées</w:t>
      </w:r>
    </w:p>
    <w:p>
      <w:pPr>
        <w:pStyle w:val="ListBullet"/>
      </w:pPr>
      <w:r>
        <w:t>Les institutions auditées ont-elles répondu aux recommandations de la Cour sur les exonérations ? Quelle est la proportion de recommandations effectivement mises en œuvre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L’absence d’un système centralisé de suivi des exonérations a-t-elle été explicitement relevée comme cause des anomalies ? Si oui, dans quels termes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Position vis-à-vis de l’OASE</w:t>
      </w:r>
    </w:p>
    <w:p>
      <w:pPr>
        <w:pStyle w:val="ListBullet"/>
      </w:pPr>
      <w:r>
        <w:t>La Cour des comptes a-t-elle déjà recommandé la mise en place d’un outil automatisé de suivi des exonérations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L’OASE pourrait-il faciliter votre travail d’audit ? Quelles fonctionnalités seraient les plus utiles (journaux d’audit horodatés et inaltérables, historiques de modification, alertes d’incohérence)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Rapports de la Cour des comptes comportant des chapitres sur les exonérations (2020-2024).</w:t>
      </w:r>
    </w:p>
    <w:p>
      <w:pPr>
        <w:pStyle w:val="ListParagraph"/>
      </w:pPr>
      <w:r>
        <w:t>☐  Liste des recommandations formulées sur ce thème et état de mise en œuvre.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