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 1 – Unité de politique fiscale (UPF)</w:t>
      </w:r>
    </w:p>
    <w:p>
      <w:pPr>
        <w:pStyle w:val="Subtitle"/>
        <w:jc w:val="center"/>
      </w:pPr>
      <w:r>
        <w:t>Projet OASE - Phase Diagnostique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l'entretien : ............................</w:t>
            </w:r>
          </w:p>
        </w:tc>
        <w:tc>
          <w:tcPr>
            <w:tcW w:type="dxa" w:w="4320"/>
          </w:tcPr>
          <w:p>
            <w:r>
              <w:t>Enquêteur(s) : ............................</w:t>
            </w:r>
          </w:p>
        </w:tc>
      </w:tr>
      <w:tr>
        <w:tc>
          <w:tcPr>
            <w:tcW w:type="dxa" w:w="4320"/>
          </w:tcPr>
          <w:p>
            <w:r>
              <w:t>Nom de l'interlocuteur : ............................</w:t>
            </w:r>
          </w:p>
        </w:tc>
        <w:tc>
          <w:tcPr>
            <w:tcW w:type="dxa" w:w="4320"/>
          </w:tcPr>
          <w:p>
            <w:r>
              <w:t>Fonction : ............................</w:t>
            </w:r>
          </w:p>
        </w:tc>
      </w:tr>
    </w:tbl>
    <w:p/>
    <w:p>
      <w:r>
        <w:rPr>
          <w:b/>
        </w:rPr>
        <w:t xml:space="preserve">Objectif : </w:t>
      </w:r>
      <w:r>
        <w:t>Comprendre la gouvernance globale des exonérations, les attentes stratégiques vis-à-vis de l’OASE, et les contraintes actuelles de suivi.</w:t>
      </w:r>
    </w:p>
    <w:p>
      <w:r>
        <w:rPr>
          <w:b/>
        </w:rPr>
        <w:t xml:space="preserve">Durée : </w:t>
      </w:r>
      <w:r>
        <w:t>1h30</w:t>
      </w:r>
    </w:p>
    <w:p>
      <w:r>
        <w:rPr>
          <w:b/>
        </w:rPr>
        <w:t xml:space="preserve">Acteurs : </w:t>
      </w:r>
      <w:r>
        <w:t>Chef UPF, chargés des études fiscales, responsable des dépenses fiscales.</w:t>
      </w:r>
    </w:p>
    <w:p>
      <w:pPr>
        <w:pStyle w:val="Heading1"/>
      </w:pPr>
      <w:r>
        <w:rPr>
          <w:color w:val="0070C0"/>
        </w:rPr>
        <w:t>Questions de l'entretien</w:t>
      </w:r>
    </w:p>
    <w:p>
      <w:pPr>
        <w:pStyle w:val="Heading2"/>
      </w:pPr>
      <w:r>
        <w:rPr>
          <w:color w:val="003366"/>
        </w:rPr>
        <w:t>Périmètre et définition</w:t>
      </w:r>
    </w:p>
    <w:p>
      <w:pPr>
        <w:pStyle w:val="ListBullet"/>
      </w:pPr>
      <w:r>
        <w:t>Quels sont, pour vous, les types d’exonérations à intégrer en priorité dans l’outil ? (Légales, conventionnelles, discrétionnaires, zones franches, projets PTF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Y a-t-il des exonérations qui doivent rester en dehors de l’outil ? Pourquoi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Processus actuel</w:t>
      </w:r>
    </w:p>
    <w:p>
      <w:pPr>
        <w:pStyle w:val="ListBullet"/>
      </w:pPr>
      <w:r>
        <w:t>Décrivez le circuit type d’une exonération, de sa base juridique à son suivi budgétaire. Quels sont les points de blocage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Qui décide l’octroi ? Qui enregistre ? Qui contrôle ? Qui évalue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Données et reporting</w:t>
      </w:r>
    </w:p>
    <w:p>
      <w:pPr>
        <w:pStyle w:val="ListBullet"/>
      </w:pPr>
      <w:r>
        <w:t>Quels rapports sur les exonérations produisez-vous aujourd’hui ? À quelle fréquence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Quels indicateurs aimeriez-vous obtenir en temps réel (coût par secteur, par bénéficiaire, échéances, etc.)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Interopérabilité</w:t>
      </w:r>
    </w:p>
    <w:p>
      <w:pPr>
        <w:pStyle w:val="ListBullet"/>
      </w:pPr>
      <w:r>
        <w:t>Avec quels systèmes (OTR, DGBF, API-ZF) échangez-vous actuellement des données ? Par quels moyens (Excel, courrier, accès direct)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Heading2"/>
      </w:pPr>
      <w:r>
        <w:rPr>
          <w:color w:val="003366"/>
        </w:rPr>
        <w:t>Contraintes et risques</w:t>
      </w:r>
    </w:p>
    <w:p>
      <w:pPr>
        <w:pStyle w:val="ListBullet"/>
      </w:pPr>
      <w:r>
        <w:t>Quelles seraient, selon vous, les conditions institutionnelles minimales pour que l’outil soit alimenté de manière régulière après son déploiement ? (Question indirecte permettant d’identifier les freins sans fermer l’interlocuteur)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pPr>
        <w:pStyle w:val="ListBullet"/>
      </w:pPr>
      <w:r>
        <w:t>Existe-t-il des données non partagées pour des raisons de confidentialité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808080"/>
              </w:rPr>
              <w:t>Notes / Réponses :</w:t>
            </w:r>
          </w:p>
          <w:p/>
          <w:p/>
          <w:p/>
        </w:tc>
      </w:tr>
    </w:tbl>
    <w:p/>
    <w:p>
      <w:r>
        <w:br w:type="page"/>
      </w:r>
    </w:p>
    <w:p>
      <w:pPr>
        <w:pStyle w:val="Heading1"/>
      </w:pPr>
      <w:r>
        <w:rPr>
          <w:color w:val="0070C0"/>
        </w:rPr>
        <w:t>Documents à vérifier / collecter</w:t>
      </w:r>
    </w:p>
    <w:p>
      <w:pPr>
        <w:pStyle w:val="ListParagraph"/>
      </w:pPr>
      <w:r>
        <w:t>☐  Liste des textes juridiques qu’ils utilisent.</w:t>
      </w:r>
    </w:p>
    <w:p>
      <w:pPr>
        <w:pStyle w:val="ListParagraph"/>
      </w:pPr>
      <w:r>
        <w:t>☐  Dernier rapport d’évaluation des dépenses fiscales.</w:t>
      </w:r>
    </w:p>
    <w:p>
      <w:pPr>
        <w:pStyle w:val="ListParagraph"/>
      </w:pPr>
      <w:r>
        <w:t>☐  Tableaux de bord mensuels existants.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