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3 – Direction générale du budget et des finances (DGBF)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Comprendre l’intégration budgétaire des exonérations, la prévision et le suivi des dépenses fiscales dans la loi de finances.</w:t>
      </w:r>
    </w:p>
    <w:p>
      <w:r>
        <w:rPr>
          <w:b/>
        </w:rPr>
        <w:t xml:space="preserve">Durée : </w:t>
      </w:r>
      <w:r>
        <w:t>1h</w:t>
      </w:r>
    </w:p>
    <w:p>
      <w:r>
        <w:rPr>
          <w:b/>
        </w:rPr>
        <w:t xml:space="preserve">Acteurs : </w:t>
      </w:r>
      <w:r>
        <w:t>Directeur du budget, chef de la cellule dépenses fiscales, responsable SIGFiP.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Processus budgétaire</w:t>
      </w:r>
    </w:p>
    <w:p>
      <w:pPr>
        <w:pStyle w:val="ListBullet"/>
      </w:pPr>
      <w:r>
        <w:t>Comment les exonérations sont-elles prévues dans la loi de finances initiale ? (Montant forfaitaire, évaluation par secteur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Existe-t-il des plafonds par bénéficiaire ou par secteur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Suivi en cours d’année</w:t>
      </w:r>
    </w:p>
    <w:p>
      <w:pPr>
        <w:pStyle w:val="ListBullet"/>
      </w:pPr>
      <w:r>
        <w:t>Comment constatez-vous les écarts entre prévisions et réalisations des exonérations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Qui vous alerte en cas de dépassement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Outils actuels</w:t>
      </w:r>
    </w:p>
    <w:p>
      <w:pPr>
        <w:pStyle w:val="ListBullet"/>
      </w:pPr>
      <w:r>
        <w:t>SIGFiP permet-il d’isoler les dépenses fiscales des dépenses budgétaires classiques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Peut-on générer automatiquement un tableau des exonérations par ministère technique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Rationalisation</w:t>
      </w:r>
    </w:p>
    <w:p>
      <w:pPr>
        <w:pStyle w:val="ListBullet"/>
      </w:pPr>
      <w:r>
        <w:t>Avez-vous déjà proposé des suppressions ou plafonnements d’exonérations sur la base d’évaluations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Quels critères utiliseriez-vous pour prioriser les revues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Tableau des dépenses fiscales annexé à la LFI 2026.</w:t>
      </w:r>
    </w:p>
    <w:p>
      <w:pPr>
        <w:pStyle w:val="ListParagraph"/>
      </w:pPr>
      <w:r>
        <w:t>☐  Extraction SIGFiP des exonérations en base d’engagement.</w:t>
      </w:r>
    </w:p>
    <w:p>
      <w:pPr>
        <w:pStyle w:val="ListParagraph"/>
      </w:pPr>
      <w:r>
        <w:t>☐  Note interne sur les dépassements constatés en 2024-2025.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