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Grille 4 – Direction générale du Trésor et de la comptabilité publique (DGTCP)</w:t>
      </w:r>
    </w:p>
    <w:p>
      <w:pPr>
        <w:pStyle w:val="Subtitle"/>
        <w:jc w:val="center"/>
      </w:pPr>
      <w:r>
        <w:t>Projet OASE - Phase Diagnostique</w:t>
      </w:r>
    </w:p>
    <w:p/>
    <w:tbl>
      <w:tblPr>
        <w:tblStyle w:val="TableGrid"/>
        <w:tblW w:type="auto" w:w="0"/>
        <w:tblLook w:firstColumn="1" w:firstRow="1" w:lastColumn="0" w:lastRow="0" w:noHBand="0" w:noVBand="1" w:val="04A0"/>
      </w:tblPr>
      <w:tblGrid>
        <w:gridCol w:w="4320"/>
        <w:gridCol w:w="4320"/>
      </w:tblGrid>
      <w:tr>
        <w:tc>
          <w:tcPr>
            <w:tcW w:type="dxa" w:w="4320"/>
          </w:tcPr>
          <w:p>
            <w:r>
              <w:t>Date de l'entretien : ............................</w:t>
            </w:r>
          </w:p>
        </w:tc>
        <w:tc>
          <w:tcPr>
            <w:tcW w:type="dxa" w:w="4320"/>
          </w:tcPr>
          <w:p>
            <w:r>
              <w:t>Enquêteur(s) : ............................</w:t>
            </w:r>
          </w:p>
        </w:tc>
      </w:tr>
      <w:tr>
        <w:tc>
          <w:tcPr>
            <w:tcW w:type="dxa" w:w="4320"/>
          </w:tcPr>
          <w:p>
            <w:r>
              <w:t>Nom de l'interlocuteur : ............................</w:t>
            </w:r>
          </w:p>
        </w:tc>
        <w:tc>
          <w:tcPr>
            <w:tcW w:type="dxa" w:w="4320"/>
          </w:tcPr>
          <w:p>
            <w:r>
              <w:t>Fonction : ............................</w:t>
            </w:r>
          </w:p>
        </w:tc>
      </w:tr>
    </w:tbl>
    <w:p/>
    <w:p>
      <w:r>
        <w:rPr>
          <w:b/>
        </w:rPr>
        <w:t xml:space="preserve">Objectif : </w:t>
      </w:r>
      <w:r>
        <w:t>Comprendre les flux financiers réels liés aux exonérations (remboursements, renonciations de recettes).</w:t>
      </w:r>
    </w:p>
    <w:p>
      <w:r>
        <w:rPr>
          <w:b/>
        </w:rPr>
        <w:t xml:space="preserve">Durée : </w:t>
      </w:r>
      <w:r>
        <w:t>45 min – 1h</w:t>
      </w:r>
    </w:p>
    <w:p>
      <w:r>
        <w:rPr>
          <w:b/>
        </w:rPr>
        <w:t xml:space="preserve">Acteurs : </w:t>
      </w:r>
      <w:r>
        <w:t>Chef de la comptabilité publique, responsable des opérations de trésorerie. [Note : GUDEF est un outil de la DGI/OTR — les questions sur GUDEF dans cet entretien portent sur les flux de remboursement de crédits TVA que la DGTCP exécute, pas sur l’administration des dossiers d’exonération qui relève de la DGI]</w:t>
      </w:r>
    </w:p>
    <w:p>
      <w:pPr>
        <w:pStyle w:val="Heading1"/>
      </w:pPr>
      <w:r>
        <w:rPr>
          <w:color w:val="0070C0"/>
        </w:rPr>
        <w:t>Questions de l'entretien</w:t>
      </w:r>
    </w:p>
    <w:p>
      <w:pPr>
        <w:pStyle w:val="Heading2"/>
      </w:pPr>
      <w:r>
        <w:rPr>
          <w:color w:val="003366"/>
        </w:rPr>
        <w:t>Flux d’exonération</w:t>
      </w:r>
    </w:p>
    <w:p>
      <w:pPr>
        <w:pStyle w:val="ListBullet"/>
      </w:pPr>
      <w:r>
        <w:t>Une exonération passe-t-elle par un ordre de paiement ? Ou s’agit-il simplement d’une non-perception ?</w:t>
      </w:r>
    </w:p>
    <w:tbl>
      <w:tblPr>
        <w:tblStyle w:val="TableGrid"/>
        <w:tblW w:type="auto" w:w="0"/>
        <w:tblLook w:firstColumn="1" w:firstRow="1" w:lastColumn="0" w:lastRow="0" w:noHBand="0" w:noVBand="1" w:val="04A0"/>
      </w:tblPr>
      <w:tblGrid>
        <w:gridCol w:w="8640"/>
      </w:tblGrid>
      <w:tr>
        <w:tc>
          <w:tcPr>
            <w:tcW w:type="dxa" w:w="8640"/>
          </w:tcPr>
          <w:p>
            <w:r>
              <w:rPr>
                <w:i/>
                <w:color w:val="808080"/>
              </w:rPr>
              <w:t>Notes / Réponses :</w:t>
            </w:r>
          </w:p>
          <w:p/>
          <w:p/>
          <w:p/>
        </w:tc>
      </w:tr>
    </w:tbl>
    <w:p/>
    <w:p>
      <w:pPr>
        <w:pStyle w:val="ListBullet"/>
      </w:pPr>
      <w:r>
        <w:t>Comment traitez-vous les crédits de TVA (remboursements) liés à des exonérations ?</w:t>
      </w:r>
    </w:p>
    <w:tbl>
      <w:tblPr>
        <w:tblStyle w:val="TableGrid"/>
        <w:tblW w:type="auto" w:w="0"/>
        <w:tblLook w:firstColumn="1" w:firstRow="1" w:lastColumn="0" w:lastRow="0" w:noHBand="0" w:noVBand="1" w:val="04A0"/>
      </w:tblPr>
      <w:tblGrid>
        <w:gridCol w:w="8640"/>
      </w:tblGrid>
      <w:tr>
        <w:tc>
          <w:tcPr>
            <w:tcW w:type="dxa" w:w="8640"/>
          </w:tcPr>
          <w:p>
            <w:r>
              <w:rPr>
                <w:i/>
                <w:color w:val="808080"/>
              </w:rPr>
              <w:t>Notes / Réponses :</w:t>
            </w:r>
          </w:p>
          <w:p/>
          <w:p/>
          <w:p/>
        </w:tc>
      </w:tr>
    </w:tbl>
    <w:p/>
    <w:p>
      <w:pPr>
        <w:pStyle w:val="Heading2"/>
      </w:pPr>
      <w:r>
        <w:rPr>
          <w:color w:val="003366"/>
        </w:rPr>
        <w:t>Traçabilité</w:t>
      </w:r>
    </w:p>
    <w:p>
      <w:pPr>
        <w:pStyle w:val="ListBullet"/>
      </w:pPr>
      <w:r>
        <w:t>Dans GUDEF, peut-on identifier les opérations correspondant à une exonération ? (code spécifique ?)</w:t>
      </w:r>
    </w:p>
    <w:tbl>
      <w:tblPr>
        <w:tblStyle w:val="TableGrid"/>
        <w:tblW w:type="auto" w:w="0"/>
        <w:tblLook w:firstColumn="1" w:firstRow="1" w:lastColumn="0" w:lastRow="0" w:noHBand="0" w:noVBand="1" w:val="04A0"/>
      </w:tblPr>
      <w:tblGrid>
        <w:gridCol w:w="8640"/>
      </w:tblGrid>
      <w:tr>
        <w:tc>
          <w:tcPr>
            <w:tcW w:type="dxa" w:w="8640"/>
          </w:tcPr>
          <w:p>
            <w:r>
              <w:rPr>
                <w:i/>
                <w:color w:val="808080"/>
              </w:rPr>
              <w:t>Notes / Réponses :</w:t>
            </w:r>
          </w:p>
          <w:p/>
          <w:p/>
          <w:p/>
        </w:tc>
      </w:tr>
    </w:tbl>
    <w:p/>
    <w:p>
      <w:pPr>
        <w:pStyle w:val="ListBullet"/>
      </w:pPr>
      <w:r>
        <w:t>Quelle est la fiabilité du codage ?</w:t>
      </w:r>
    </w:p>
    <w:tbl>
      <w:tblPr>
        <w:tblStyle w:val="TableGrid"/>
        <w:tblW w:type="auto" w:w="0"/>
        <w:tblLook w:firstColumn="1" w:firstRow="1" w:lastColumn="0" w:lastRow="0" w:noHBand="0" w:noVBand="1" w:val="04A0"/>
      </w:tblPr>
      <w:tblGrid>
        <w:gridCol w:w="8640"/>
      </w:tblGrid>
      <w:tr>
        <w:tc>
          <w:tcPr>
            <w:tcW w:type="dxa" w:w="8640"/>
          </w:tcPr>
          <w:p>
            <w:r>
              <w:rPr>
                <w:i/>
                <w:color w:val="808080"/>
              </w:rPr>
              <w:t>Notes / Réponses :</w:t>
            </w:r>
          </w:p>
          <w:p/>
          <w:p/>
          <w:p/>
        </w:tc>
      </w:tr>
    </w:tbl>
    <w:p/>
    <w:p>
      <w:pPr>
        <w:pStyle w:val="Heading2"/>
      </w:pPr>
      <w:r>
        <w:rPr>
          <w:color w:val="003366"/>
        </w:rPr>
        <w:t>Reddition</w:t>
      </w:r>
    </w:p>
    <w:p>
      <w:pPr>
        <w:pStyle w:val="ListBullet"/>
      </w:pPr>
      <w:r>
        <w:t>Les rapports de la Cour des comptes ont-ils déjà souligné des anomalies liées aux exonérations au niveau du Trésor ?</w:t>
      </w:r>
    </w:p>
    <w:tbl>
      <w:tblPr>
        <w:tblStyle w:val="TableGrid"/>
        <w:tblW w:type="auto" w:w="0"/>
        <w:tblLook w:firstColumn="1" w:firstRow="1" w:lastColumn="0" w:lastRow="0" w:noHBand="0" w:noVBand="1" w:val="04A0"/>
      </w:tblPr>
      <w:tblGrid>
        <w:gridCol w:w="8640"/>
      </w:tblGrid>
      <w:tr>
        <w:tc>
          <w:tcPr>
            <w:tcW w:type="dxa" w:w="8640"/>
          </w:tcPr>
          <w:p>
            <w:r>
              <w:rPr>
                <w:i/>
                <w:color w:val="808080"/>
              </w:rPr>
              <w:t>Notes / Réponses :</w:t>
            </w:r>
          </w:p>
          <w:p/>
          <w:p/>
          <w:p/>
        </w:tc>
      </w:tr>
    </w:tbl>
    <w:p/>
    <w:p>
      <w:pPr>
        <w:pStyle w:val="ListBullet"/>
      </w:pPr>
      <w:r>
        <w:t>Comment y avez-vous répondu ?</w:t>
      </w:r>
    </w:p>
    <w:tbl>
      <w:tblPr>
        <w:tblStyle w:val="TableGrid"/>
        <w:tblW w:type="auto" w:w="0"/>
        <w:tblLook w:firstColumn="1" w:firstRow="1" w:lastColumn="0" w:lastRow="0" w:noHBand="0" w:noVBand="1" w:val="04A0"/>
      </w:tblPr>
      <w:tblGrid>
        <w:gridCol w:w="8640"/>
      </w:tblGrid>
      <w:tr>
        <w:tc>
          <w:tcPr>
            <w:tcW w:type="dxa" w:w="8640"/>
          </w:tcPr>
          <w:p>
            <w:r>
              <w:rPr>
                <w:i/>
                <w:color w:val="808080"/>
              </w:rPr>
              <w:t>Notes / Réponses :</w:t>
            </w:r>
          </w:p>
          <w:p/>
          <w:p/>
          <w:p/>
        </w:tc>
      </w:tr>
    </w:tbl>
    <w:p/>
    <w:p>
      <w:r>
        <w:br w:type="page"/>
      </w:r>
    </w:p>
    <w:p>
      <w:pPr>
        <w:pStyle w:val="Heading1"/>
      </w:pPr>
      <w:r>
        <w:rPr>
          <w:color w:val="0070C0"/>
        </w:rPr>
        <w:t>Documents à vérifier / collecter</w:t>
      </w:r>
    </w:p>
    <w:p>
      <w:pPr>
        <w:pStyle w:val="ListParagraph"/>
      </w:pPr>
      <w:r>
        <w:t>☐  État des remboursements de crédits de TVA (2024-2025).</w:t>
      </w:r>
    </w:p>
    <w:p>
      <w:pPr>
        <w:pStyle w:val="ListParagraph"/>
      </w:pPr>
      <w:r>
        <w:t>☐  Liste des comptes ou codes utilisés pour les exonérations dans GUDEF.</w:t>
      </w:r>
    </w:p>
    <w:p>
      <w:pPr>
        <w:pStyle w:val="ListParagraph"/>
      </w:pPr>
      <w:r>
        <w:t>☐  Extrait de rapport de la Cour des comptes (s’ils l’ont à disposition).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