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Grille 6 – Direction des systèmes d’information (DSI/MEF)</w:t>
      </w:r>
    </w:p>
    <w:p>
      <w:pPr>
        <w:pStyle w:val="Subtitle"/>
        <w:jc w:val="center"/>
      </w:pPr>
      <w:r>
        <w:t>Projet OASE - Phase Diagnostique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Date de l'entretien : ............................</w:t>
            </w:r>
          </w:p>
        </w:tc>
        <w:tc>
          <w:tcPr>
            <w:tcW w:type="dxa" w:w="4320"/>
          </w:tcPr>
          <w:p>
            <w:r>
              <w:t>Enquêteur(s) : ............................</w:t>
            </w:r>
          </w:p>
        </w:tc>
      </w:tr>
      <w:tr>
        <w:tc>
          <w:tcPr>
            <w:tcW w:type="dxa" w:w="4320"/>
          </w:tcPr>
          <w:p>
            <w:r>
              <w:t>Nom de l'interlocuteur : ............................</w:t>
            </w:r>
          </w:p>
        </w:tc>
        <w:tc>
          <w:tcPr>
            <w:tcW w:type="dxa" w:w="4320"/>
          </w:tcPr>
          <w:p>
            <w:r>
              <w:t>Fonction : ............................</w:t>
            </w:r>
          </w:p>
        </w:tc>
      </w:tr>
    </w:tbl>
    <w:p/>
    <w:p>
      <w:r>
        <w:rPr>
          <w:b/>
        </w:rPr>
        <w:t xml:space="preserve">Objectif : </w:t>
      </w:r>
      <w:r>
        <w:t>Évaluer les capacités techniques d’hébergement, de sécurité, d’interopérabilité et les contraintes de l’environnement.</w:t>
      </w:r>
    </w:p>
    <w:p>
      <w:r>
        <w:rPr>
          <w:b/>
        </w:rPr>
        <w:t xml:space="preserve">Durée : </w:t>
      </w:r>
      <w:r>
        <w:t>1h30</w:t>
      </w:r>
    </w:p>
    <w:p>
      <w:r>
        <w:rPr>
          <w:b/>
        </w:rPr>
        <w:t xml:space="preserve">Acteurs : </w:t>
      </w:r>
      <w:r>
        <w:t>DSI (ou responsable infrastructure), administrateur de bases de données, responsable sécurité.</w:t>
      </w:r>
    </w:p>
    <w:p>
      <w:pPr>
        <w:pStyle w:val="Heading1"/>
      </w:pPr>
      <w:r>
        <w:rPr>
          <w:color w:val="0070C0"/>
        </w:rPr>
        <w:t>Questions de l'entretien</w:t>
      </w:r>
    </w:p>
    <w:p>
      <w:pPr>
        <w:pStyle w:val="Heading2"/>
      </w:pPr>
      <w:r>
        <w:rPr>
          <w:color w:val="003366"/>
        </w:rPr>
        <w:t>Infrastructure</w:t>
      </w:r>
    </w:p>
    <w:p>
      <w:pPr>
        <w:pStyle w:val="ListBullet"/>
      </w:pPr>
      <w:r>
        <w:t>Quels serveurs sont disponibles pour héberger l’OASE (OS, SGBD, capacité disque, RAM)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  <w:color w:val="808080"/>
              </w:rPr>
              <w:t>Notes / Réponses :</w:t>
            </w:r>
          </w:p>
          <w:p/>
          <w:p/>
          <w:p/>
        </w:tc>
      </w:tr>
    </w:tbl>
    <w:p/>
    <w:p>
      <w:pPr>
        <w:pStyle w:val="ListBullet"/>
      </w:pPr>
      <w:r>
        <w:t>Existe-t-il un environnement de test isolé de la production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  <w:color w:val="808080"/>
              </w:rPr>
              <w:t>Notes / Réponses :</w:t>
            </w:r>
          </w:p>
          <w:p/>
          <w:p/>
          <w:p/>
        </w:tc>
      </w:tr>
    </w:tbl>
    <w:p/>
    <w:p>
      <w:pPr>
        <w:pStyle w:val="Heading2"/>
      </w:pPr>
      <w:r>
        <w:rPr>
          <w:color w:val="003366"/>
        </w:rPr>
        <w:t>Sécurité</w:t>
      </w:r>
    </w:p>
    <w:p>
      <w:pPr>
        <w:pStyle w:val="ListBullet"/>
      </w:pPr>
      <w:r>
        <w:t>Quelles sont les politiques d’authentification (LDAP, AD, MFA) et de gestion des profils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  <w:color w:val="808080"/>
              </w:rPr>
              <w:t>Notes / Réponses :</w:t>
            </w:r>
          </w:p>
          <w:p/>
          <w:p/>
          <w:p/>
        </w:tc>
      </w:tr>
    </w:tbl>
    <w:p/>
    <w:p>
      <w:pPr>
        <w:pStyle w:val="ListBullet"/>
      </w:pPr>
      <w:r>
        <w:t>Avez-vous des pare-feu, IDS/IPS déjà en place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  <w:color w:val="808080"/>
              </w:rPr>
              <w:t>Notes / Réponses :</w:t>
            </w:r>
          </w:p>
          <w:p/>
          <w:p/>
          <w:p/>
        </w:tc>
      </w:tr>
    </w:tbl>
    <w:p/>
    <w:p>
      <w:pPr>
        <w:pStyle w:val="ListBullet"/>
      </w:pPr>
      <w:r>
        <w:t>Comment gérez-vous les logs d’accès aux données sensibles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  <w:color w:val="808080"/>
              </w:rPr>
              <w:t>Notes / Réponses :</w:t>
            </w:r>
          </w:p>
          <w:p/>
          <w:p/>
          <w:p/>
        </w:tc>
      </w:tr>
    </w:tbl>
    <w:p/>
    <w:p>
      <w:pPr>
        <w:pStyle w:val="Heading2"/>
      </w:pPr>
      <w:r>
        <w:rPr>
          <w:color w:val="003366"/>
        </w:rPr>
        <w:t>Interopérabilité</w:t>
      </w:r>
    </w:p>
    <w:p>
      <w:pPr>
        <w:pStyle w:val="ListBullet"/>
      </w:pPr>
      <w:r>
        <w:t>Les bases SYDONIA, SIGFiP, GUDEF, SIGTAS sont-elles accessibles en lecture depuis un autre serveur via API ou vues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  <w:color w:val="808080"/>
              </w:rPr>
              <w:t>Notes / Réponses :</w:t>
            </w:r>
          </w:p>
          <w:p/>
          <w:p/>
          <w:p/>
        </w:tc>
      </w:tr>
    </w:tbl>
    <w:p/>
    <w:p>
      <w:pPr>
        <w:pStyle w:val="ListBullet"/>
      </w:pPr>
      <w:r>
        <w:t>Quelles sont les contraintes de sécurité pour créer un connecteur OASE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  <w:color w:val="808080"/>
              </w:rPr>
              <w:t>Notes / Réponses :</w:t>
            </w:r>
          </w:p>
          <w:p/>
          <w:p/>
          <w:p/>
        </w:tc>
      </w:tr>
    </w:tbl>
    <w:p/>
    <w:p>
      <w:pPr>
        <w:pStyle w:val="Heading2"/>
      </w:pPr>
      <w:r>
        <w:rPr>
          <w:color w:val="003366"/>
        </w:rPr>
        <w:t>Maintenance et support</w:t>
      </w:r>
    </w:p>
    <w:p>
      <w:pPr>
        <w:pStyle w:val="ListBullet"/>
      </w:pPr>
      <w:r>
        <w:t>Quelle sera votre implication pour la maintenance de l’OASE après déploiement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  <w:color w:val="808080"/>
              </w:rPr>
              <w:t>Notes / Réponses :</w:t>
            </w:r>
          </w:p>
          <w:p/>
          <w:p/>
          <w:p/>
        </w:tc>
      </w:tr>
    </w:tbl>
    <w:p/>
    <w:p>
      <w:pPr>
        <w:pStyle w:val="ListBullet"/>
      </w:pPr>
      <w:r>
        <w:t>Avez-vous des équipes formées aux technologies envisagées (ex : PostgreSQL, Python/Java, Power BI embarqué)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  <w:color w:val="808080"/>
              </w:rPr>
              <w:t>Notes / Réponses :</w:t>
            </w:r>
          </w:p>
          <w:p/>
          <w:p/>
          <w:p/>
        </w:tc>
      </w:tr>
    </w:tbl>
    <w:p/>
    <w:p>
      <w:r>
        <w:br w:type="page"/>
      </w:r>
    </w:p>
    <w:p>
      <w:pPr>
        <w:pStyle w:val="Heading1"/>
      </w:pPr>
      <w:r>
        <w:rPr>
          <w:color w:val="0070C0"/>
        </w:rPr>
        <w:t>Documents à vérifier / collecter</w:t>
      </w:r>
    </w:p>
    <w:p>
      <w:pPr>
        <w:pStyle w:val="ListParagraph"/>
      </w:pPr>
      <w:r>
        <w:t>☐  Schéma d’architecture réseau du MEF (haut niveau).</w:t>
      </w:r>
    </w:p>
    <w:p>
      <w:pPr>
        <w:pStyle w:val="ListParagraph"/>
      </w:pPr>
      <w:r>
        <w:t>☐  Documentation de l’API SYDONIA (si ouverte).</w:t>
      </w:r>
    </w:p>
    <w:p>
      <w:pPr>
        <w:pStyle w:val="ListParagraph"/>
      </w:pPr>
      <w:r>
        <w:t>☐  Politique de sécurité des systèmes d’information (PSSI).</w:t>
      </w:r>
    </w:p>
    <w:p>
      <w:pPr>
        <w:pStyle w:val="ListParagraph"/>
      </w:pPr>
      <w:r>
        <w:t>☐  Plan de sauvegarde et de continuité d’activité.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