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NOTE MÉTHODOLOGIQUE DE COLLECTE DE DONNÉES</w:t>
      </w:r>
    </w:p>
    <w:p>
      <w:pPr>
        <w:pStyle w:val="Subtitle"/>
        <w:jc w:val="center"/>
      </w:pPr>
      <w:r>
        <w:t>Projet OASE (Outil Automatisé de Suivi des Exonérations)</w:t>
      </w:r>
    </w:p>
    <w:p/>
    <w:p>
      <w:pPr>
        <w:pStyle w:val="Heading1"/>
      </w:pPr>
      <w:r>
        <w:rPr>
          <w:color w:val="0070C0"/>
        </w:rPr>
        <w:t>1. Objectifs de la mission de diagnostic</w:t>
      </w:r>
    </w:p>
    <w:p>
      <w:pPr>
        <w:pStyle w:val="BodyText"/>
      </w:pPr>
      <w:r>
        <w:t>La présente mission de collecte de données s'inscrit dans le cadre de la phase diagnostique du projet OASE. Elle vise à :</w:t>
      </w:r>
    </w:p>
    <w:p>
      <w:pPr>
        <w:pStyle w:val="ListBullet"/>
      </w:pPr>
      <w:r>
        <w:t>Cartographier le processus actuel d'octroi et de suivi des exonérations fiscales et douanières.</w:t>
      </w:r>
    </w:p>
    <w:p>
      <w:pPr>
        <w:pStyle w:val="ListBullet"/>
      </w:pPr>
      <w:r>
        <w:t>Identifier les acteurs impliqués et leurs rôles respectifs.</w:t>
      </w:r>
    </w:p>
    <w:p>
      <w:pPr>
        <w:pStyle w:val="ListBullet"/>
      </w:pPr>
      <w:r>
        <w:t>Recenser les documents, registres et systèmes d'information existants.</w:t>
      </w:r>
    </w:p>
    <w:p>
      <w:pPr>
        <w:pStyle w:val="ListBullet"/>
      </w:pPr>
      <w:r>
        <w:t>Relever les dysfonctionnements, goulots d'étranglement et besoins en automatisation.</w:t>
      </w:r>
    </w:p>
    <w:p>
      <w:pPr>
        <w:pStyle w:val="Heading1"/>
      </w:pPr>
      <w:r>
        <w:rPr>
          <w:color w:val="0070C0"/>
        </w:rPr>
        <w:t>2. Périmètre et Acteurs Cibles</w:t>
      </w:r>
    </w:p>
    <w:p>
      <w:pPr>
        <w:pStyle w:val="BodyText"/>
      </w:pPr>
      <w:r>
        <w:t>La collecte couvre les structures impliquées dans la chaîne de valeur des exonérations. Les principaux acteurs ciblés sont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Catégorie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Acteurs concernés</w:t>
            </w:r>
          </w:p>
        </w:tc>
      </w:tr>
      <w:tr>
        <w:tc>
          <w:tcPr>
            <w:tcW w:type="dxa" w:w="4320"/>
          </w:tcPr>
          <w:p>
            <w:r>
              <w:t>Régies Financières</w:t>
            </w:r>
          </w:p>
        </w:tc>
        <w:tc>
          <w:tcPr>
            <w:tcW w:type="dxa" w:w="4320"/>
          </w:tcPr>
          <w:p>
            <w:r>
              <w:t>OTR (Douanes, Impôts), DGTCP, DGBF</w:t>
            </w:r>
          </w:p>
        </w:tc>
      </w:tr>
      <w:tr>
        <w:tc>
          <w:tcPr>
            <w:tcW w:type="dxa" w:w="4320"/>
          </w:tcPr>
          <w:p>
            <w:r>
              <w:t>Ministères Sectoriels</w:t>
            </w:r>
          </w:p>
        </w:tc>
        <w:tc>
          <w:tcPr>
            <w:tcW w:type="dxa" w:w="4320"/>
          </w:tcPr>
          <w:p>
            <w:r>
              <w:t>UPF, MEF, Mines, Environnement</w:t>
            </w:r>
          </w:p>
        </w:tc>
      </w:tr>
      <w:tr>
        <w:tc>
          <w:tcPr>
            <w:tcW w:type="dxa" w:w="4320"/>
          </w:tcPr>
          <w:p>
            <w:r>
              <w:t>Agences de Promotion</w:t>
            </w:r>
          </w:p>
        </w:tc>
        <w:tc>
          <w:tcPr>
            <w:tcW w:type="dxa" w:w="4320"/>
          </w:tcPr>
          <w:p>
            <w:r>
              <w:t>API-ZF, SAZOF</w:t>
            </w:r>
          </w:p>
        </w:tc>
      </w:tr>
      <w:tr>
        <w:tc>
          <w:tcPr>
            <w:tcW w:type="dxa" w:w="4320"/>
          </w:tcPr>
          <w:p>
            <w:r>
              <w:t>Autres Parties Prenantes</w:t>
            </w:r>
          </w:p>
        </w:tc>
        <w:tc>
          <w:tcPr>
            <w:tcW w:type="dxa" w:w="4320"/>
          </w:tcPr>
          <w:p>
            <w:r>
              <w:t>DGEAE, OSC, UEMOA, Experts Fiscaux</w:t>
            </w:r>
          </w:p>
        </w:tc>
      </w:tr>
    </w:tbl>
    <w:p/>
    <w:p>
      <w:pPr>
        <w:pStyle w:val="Heading1"/>
      </w:pPr>
      <w:r>
        <w:rPr>
          <w:color w:val="0070C0"/>
        </w:rPr>
        <w:t>3. Outils et Déroulement des Entretiens</w:t>
      </w:r>
    </w:p>
    <w:p>
      <w:pPr>
        <w:pStyle w:val="BodyText"/>
      </w:pPr>
      <w:r>
        <w:t>Les entretiens semi-directifs seront menés à l'aide des grilles de collecte spécifiques préparées pour chaque acteur. Déroulement type :</w:t>
      </w:r>
    </w:p>
    <w:p>
      <w:pPr>
        <w:pStyle w:val="ListNumber"/>
      </w:pPr>
      <w:r>
        <w:t>Préparation : Envoi des courriers d'annonce et de la liste des documents requis (cf. document Besoins_informations_documentaires.V2_Enrichi.docx).</w:t>
      </w:r>
    </w:p>
    <w:p>
      <w:pPr>
        <w:pStyle w:val="ListNumber"/>
      </w:pPr>
      <w:r>
        <w:t>Entretien : Utilisation du template Word dédié à l'acteur pour la prise de notes. L'entretien durera en moyenne 1h à 1h30.</w:t>
      </w:r>
    </w:p>
    <w:p>
      <w:pPr>
        <w:pStyle w:val="ListNumber"/>
      </w:pPr>
      <w:r>
        <w:t>Collecte documentaire : Récupération des textes, registres et données statistiques sollicités.</w:t>
      </w:r>
    </w:p>
    <w:p>
      <w:pPr>
        <w:pStyle w:val="ListNumber"/>
      </w:pPr>
      <w:r>
        <w:t>Compte-rendu : Rédaction du CR dans les 48h suivant l'entretien (cf. Template_Compte_Rendu_Entretien.docx).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