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8 – Partenaires techniques et financiers (FMI, Banque mondiale, GIZ) et INSEED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Recueillir les recommandations internationales, benchmarks, et alignement avec les conditionnalités.</w:t>
      </w:r>
    </w:p>
    <w:p>
      <w:r>
        <w:rPr>
          <w:b/>
        </w:rPr>
        <w:t xml:space="preserve">Durée : </w:t>
      </w:r>
      <w:r>
        <w:t>45 min</w:t>
      </w:r>
    </w:p>
    <w:p>
      <w:r>
        <w:rPr>
          <w:b/>
        </w:rPr>
        <w:t xml:space="preserve">Acteurs : </w:t>
      </w:r>
      <w:r>
        <w:t>FMI : représentant résident, économiste fiscal. — Banque mondiale : économiste fiscal principal. — GIZ/GFG : chef de projet, conseiller technique. — INSEED : directeur des statistiques économiques, responsable comptes nationaux.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Recommandations spécifiques</w:t>
      </w:r>
    </w:p>
    <w:p>
      <w:pPr>
        <w:pStyle w:val="ListBullet"/>
      </w:pPr>
      <w:r>
        <w:t>Quelles sont les principales conditions (FMI) ou recommandations (BM) liées au suivi des exonérations au Togo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Un outil automatisé est-il explicitement demandé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Bonnes pratiques régionales</w:t>
      </w:r>
    </w:p>
    <w:p>
      <w:pPr>
        <w:pStyle w:val="ListBullet"/>
      </w:pPr>
      <w:r>
        <w:t>Connaissez-vous d’autres pays de l’UEMOA qui ont mis en place un outil similaire ? Quels enseignements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Appui technique</w:t>
      </w:r>
    </w:p>
    <w:p>
      <w:pPr>
        <w:pStyle w:val="ListBullet"/>
      </w:pPr>
      <w:r>
        <w:t>La GIZ/GFG peut-elle financer des sessions de formation supplémentaires ou un assistant technique résident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Données macroéconomiques de référence — INSEED</w:t>
      </w:r>
    </w:p>
    <w:p>
      <w:pPr>
        <w:pStyle w:val="ListBullet"/>
      </w:pPr>
      <w:r>
        <w:t>Quelles séries statistiques sont disponibles pour estimer la base imposable par secteur (PIB sectoriel, valeur ajoutée, consommation des ménages) ? À quelle fréquence ces séries sont-elles mises à jour et sous quel format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Disposez-vous d’une base d’entreprises par secteur SYSCOA permettant de croiser avec les données OTR pour estimer les exonérations IS non déclarées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 est la couverture et la fiabilité des statistiques d’importation ? Y a-t-il des discordances connues avec les données douanières SYDONIA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Note technique du FMI sur les exonérations (2025).</w:t>
      </w:r>
    </w:p>
    <w:p>
      <w:pPr>
        <w:pStyle w:val="ListParagraph"/>
      </w:pPr>
      <w:r>
        <w:t>☐  Rapport PEFA fiscal (BM).</w:t>
      </w:r>
    </w:p>
    <w:p>
      <w:pPr>
        <w:pStyle w:val="ListParagraph"/>
      </w:pPr>
      <w:r>
        <w:t>☐  Plan de travail GFG 2026.</w:t>
      </w:r>
    </w:p>
    <w:p>
      <w:pPr>
        <w:pStyle w:val="ListParagraph"/>
      </w:pPr>
      <w:r>
        <w:t>☐  Grille complémentaire – Points communs à tous les entretiens</w:t>
      </w:r>
    </w:p>
    <w:p>
      <w:pPr>
        <w:pStyle w:val="ListParagraph"/>
      </w:pPr>
      <w:r>
        <w:t>☐  Pour chaque rencontre, systématiquement demander :</w:t>
      </w:r>
    </w:p>
    <w:p>
      <w:pPr>
        <w:pStyle w:val="ListParagraph"/>
      </w:pPr>
      <w:r>
        <w:t>☐  Trois principaux problèmes que vous rencontrez dans le suivi actuel des exonérations.</w:t>
      </w:r>
    </w:p>
    <w:p>
      <w:pPr>
        <w:pStyle w:val="ListParagraph"/>
      </w:pPr>
      <w:r>
        <w:t>☐  Trois informations prioritaires que vous souhaiteriez voir dans l’OASE.</w:t>
      </w:r>
    </w:p>
    <w:p>
      <w:pPr>
        <w:pStyle w:val="ListParagraph"/>
      </w:pPr>
      <w:r>
        <w:t>☐  Un risque majeur qui pourrait faire échouer l’automatisation (selon vous).</w:t>
      </w:r>
    </w:p>
    <w:p>
      <w:pPr>
        <w:pStyle w:val="ListParagraph"/>
      </w:pPr>
      <w:r>
        <w:t>☐  Une personne ressource dans votre structure avec qui nous pourrions approfondir un point technique.</w:t>
      </w:r>
    </w:p>
    <w:p>
      <w:pPr>
        <w:pStyle w:val="ListParagraph"/>
      </w:pPr>
      <w:r>
        <w:t>☐  Sur une échelle de 1 à 5, dans quelle mesure pensez-vous que l’OASE changera concrètement vos pratiques de travail ? (1 = aucun impact, 5 = transformation majeure) — Pourquoi ?</w:t>
      </w:r>
    </w:p>
    <w:p>
      <w:pPr>
        <w:pStyle w:val="ListParagraph"/>
      </w:pPr>
      <w:r>
        <w:t>☐  Y a-t-il des informations sur les exonérations que vous détenez mais que vous n’avez pas partagées dans cet entretien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