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D'ENTRETIEN : OSC</w:t>
      </w:r>
    </w:p>
    <w:p>
      <w:pPr>
        <w:pStyle w:val="Subtitle"/>
        <w:jc w:val="center"/>
      </w:pPr>
      <w:r>
        <w:t>Projet OASE - Phase Diagnostique</w:t>
        <w:br/>
        <w:t>Organisations de la Société Civile (Transparence et impact social)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pPr>
        <w:pStyle w:val="Heading1"/>
      </w:pPr>
      <w:r>
        <w:rPr>
          <w:color w:val="0070C0"/>
        </w:rPr>
        <w:t>Questions de l'entretien</w:t>
      </w:r>
    </w:p>
    <w:p>
      <w:pPr>
        <w:pStyle w:val="ListBullet"/>
      </w:pPr>
      <w:r>
        <w:t>Comment évaluez-vous la transparence dans l'octroi des exonérations fiscales et douanières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Avez-vous accès aux informations sur les dépenses fiscales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sont vos recommandations pour améliorer le suivi et l'évaluation des exonérations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 impact social et économique observez-vous concernant ces incitations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