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D'ENTRETIEN : UEMOA</w:t>
      </w:r>
    </w:p>
    <w:p>
      <w:pPr>
        <w:pStyle w:val="Subtitle"/>
        <w:jc w:val="center"/>
      </w:pPr>
      <w:r>
        <w:t>Projet OASE - Phase Diagnostique</w:t>
        <w:br/>
        <w:t>Commission de l'UEMOA (Harmonisation régionale)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pPr>
        <w:pStyle w:val="Heading1"/>
      </w:pPr>
      <w:r>
        <w:rPr>
          <w:color w:val="0070C0"/>
        </w:rPr>
        <w:t>Questions de l'entretien</w:t>
      </w:r>
    </w:p>
    <w:p>
      <w:pPr>
        <w:pStyle w:val="ListBullet"/>
      </w:pPr>
      <w:r>
        <w:t>Comment le pays se situe-t-il par rapport aux directives régionales sur les exonérations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Quelles sont les obligations de reporting du pays envers l'UEMOA concernant les dépenses fiscales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Quelles sont les difficultés rencontrées dans la mise en œuvre du Tarif Extérieur Commun (TEC)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Des réformes régionales sont-elles prévues concernant les incitations fiscales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