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C5F8" w14:textId="77777777" w:rsidR="00F841C0" w:rsidRDefault="00000000">
      <w:pPr>
        <w:pStyle w:val="Heading1"/>
        <w:jc w:val="center"/>
      </w:pPr>
      <w:r>
        <w:t>TARAsense Hedonic Data Analysis Workflow</w:t>
      </w:r>
    </w:p>
    <w:p w14:paraId="1B9B67AE" w14:textId="77777777" w:rsidR="008E376B" w:rsidRPr="008E376B" w:rsidRDefault="008E376B" w:rsidP="008E376B"/>
    <w:p w14:paraId="7EA6B0F4" w14:textId="77777777" w:rsidR="008E376B" w:rsidRDefault="00000000">
      <w:r>
        <w:t xml:space="preserve">This document outlines the recommended statistically correct workflow for handling hedonic scale sensory data within the TARAsense platform. </w:t>
      </w:r>
    </w:p>
    <w:p w14:paraId="6A0F7828" w14:textId="33E54C23" w:rsidR="00F841C0" w:rsidRDefault="00000000">
      <w:r>
        <w:t>The goal is to guide software developers in implementing appropriate decision logic, statistical analysis, and reporting procedures even without prior background in sensory statistics.</w:t>
      </w:r>
    </w:p>
    <w:p w14:paraId="0932478E" w14:textId="77777777" w:rsidR="007112F6" w:rsidRDefault="007112F6"/>
    <w:p w14:paraId="6E819828" w14:textId="77777777" w:rsidR="00F841C0" w:rsidRDefault="00000000">
      <w:pPr>
        <w:pStyle w:val="Heading2"/>
      </w:pPr>
      <w:r>
        <w:t>1. Data Validation Layer</w:t>
      </w:r>
    </w:p>
    <w:p w14:paraId="7CB71982" w14:textId="77777777" w:rsidR="00F841C0" w:rsidRDefault="00000000">
      <w:pPr>
        <w:pStyle w:val="ListBullet"/>
      </w:pPr>
      <w:r>
        <w:t>Before any statistical analysis, TARAsense should automatically validate the dataset.</w:t>
      </w:r>
    </w:p>
    <w:p w14:paraId="175A8E7C" w14:textId="77777777" w:rsidR="00F841C0" w:rsidRDefault="00000000">
      <w:pPr>
        <w:pStyle w:val="ListBullet"/>
      </w:pPr>
      <w:r>
        <w:t>Checks should include: missing responses, duplicate entries, incomplete evaluations, and unusually fast responses.</w:t>
      </w:r>
    </w:p>
    <w:p w14:paraId="0818E113" w14:textId="77777777" w:rsidR="00F841C0" w:rsidRDefault="00000000">
      <w:pPr>
        <w:pStyle w:val="ListBullet"/>
      </w:pPr>
      <w:r>
        <w:t>Optional screening may include attention checks, straight-lining detection, and outlier detection.</w:t>
      </w:r>
    </w:p>
    <w:p w14:paraId="51E181BC" w14:textId="77777777" w:rsidR="007112F6" w:rsidRDefault="007112F6" w:rsidP="007112F6">
      <w:pPr>
        <w:pStyle w:val="ListBullet"/>
        <w:numPr>
          <w:ilvl w:val="0"/>
          <w:numId w:val="0"/>
        </w:numPr>
        <w:ind w:left="360"/>
      </w:pPr>
    </w:p>
    <w:p w14:paraId="3D7F47F4" w14:textId="77777777" w:rsidR="00F841C0" w:rsidRDefault="00000000">
      <w:pPr>
        <w:pStyle w:val="Heading2"/>
      </w:pPr>
      <w:r>
        <w:t>2. Determine the Study Design</w:t>
      </w:r>
    </w:p>
    <w:p w14:paraId="56F8425E" w14:textId="77777777" w:rsidR="00F841C0" w:rsidRDefault="00000000">
      <w:pPr>
        <w:pStyle w:val="ListBullet"/>
      </w:pPr>
      <w:r>
        <w:t>The system must first identify the experimental design because this determines the correct statistical analysis.</w:t>
      </w:r>
    </w:p>
    <w:p w14:paraId="0D16EB1D" w14:textId="77777777" w:rsidR="00F841C0" w:rsidRDefault="00000000">
      <w:pPr>
        <w:pStyle w:val="ListBullet"/>
      </w:pPr>
      <w:r w:rsidRPr="00BD0195">
        <w:rPr>
          <w:b/>
          <w:bCs/>
        </w:rPr>
        <w:t>Monadic Design:</w:t>
      </w:r>
      <w:r>
        <w:t xml:space="preserve"> Each consumer evaluates only one sample (independent observations).</w:t>
      </w:r>
    </w:p>
    <w:p w14:paraId="43467EA4" w14:textId="0F62971D" w:rsidR="00F841C0" w:rsidRDefault="00000000">
      <w:pPr>
        <w:pStyle w:val="ListBullet"/>
      </w:pPr>
      <w:r w:rsidRPr="00BD0195">
        <w:rPr>
          <w:b/>
          <w:bCs/>
        </w:rPr>
        <w:t>Within-Subject Design</w:t>
      </w:r>
      <w:r>
        <w:t>: The same consumer evaluates multiple samples (dependent or repeated observations).</w:t>
      </w:r>
    </w:p>
    <w:p w14:paraId="027541E2" w14:textId="77777777" w:rsidR="00F841C0" w:rsidRDefault="00000000">
      <w:pPr>
        <w:pStyle w:val="ListBullet"/>
      </w:pPr>
      <w:r>
        <w:t>This decision determines whether independent tests or repeated-measures analyses are appropriate.</w:t>
      </w:r>
    </w:p>
    <w:p w14:paraId="676D2895" w14:textId="77777777" w:rsidR="00F841C0" w:rsidRDefault="00000000">
      <w:pPr>
        <w:pStyle w:val="Heading2"/>
      </w:pPr>
      <w:r>
        <w:t>3. Understand the Nature of Hedonic Data</w:t>
      </w:r>
    </w:p>
    <w:p w14:paraId="61BABFC9" w14:textId="77777777" w:rsidR="00F841C0" w:rsidRDefault="00000000">
      <w:pPr>
        <w:pStyle w:val="ListBullet"/>
      </w:pPr>
      <w:r>
        <w:t>Hedonic scales are technically ordinal data.</w:t>
      </w:r>
    </w:p>
    <w:p w14:paraId="545C62D3" w14:textId="77777777" w:rsidR="00F841C0" w:rsidRDefault="00000000">
      <w:pPr>
        <w:pStyle w:val="ListBullet"/>
      </w:pPr>
      <w:r>
        <w:t>However, in sensory science, 9-point hedonic scales are often treated as approximately interval data when assumptions are reasonably met.</w:t>
      </w:r>
    </w:p>
    <w:p w14:paraId="77482C90" w14:textId="227576FD" w:rsidR="00F841C0" w:rsidRDefault="00000000">
      <w:pPr>
        <w:pStyle w:val="ListBullet"/>
      </w:pPr>
      <w:r>
        <w:t xml:space="preserve">TARAsense </w:t>
      </w:r>
      <w:r w:rsidR="00BD0195">
        <w:t xml:space="preserve">will </w:t>
      </w:r>
      <w:proofErr w:type="spellStart"/>
      <w:r w:rsidR="00BD0195">
        <w:t>suppport</w:t>
      </w:r>
      <w:proofErr w:type="spellEnd"/>
      <w:r>
        <w:t xml:space="preserve"> both </w:t>
      </w:r>
      <w:r w:rsidRPr="00BD0195">
        <w:rPr>
          <w:b/>
          <w:bCs/>
        </w:rPr>
        <w:t>parametric</w:t>
      </w:r>
      <w:r>
        <w:t xml:space="preserve"> and </w:t>
      </w:r>
      <w:r w:rsidRPr="00BD0195">
        <w:rPr>
          <w:b/>
          <w:bCs/>
        </w:rPr>
        <w:t>nonparametric analysis</w:t>
      </w:r>
      <w:r>
        <w:t xml:space="preserve"> pathways.</w:t>
      </w:r>
    </w:p>
    <w:p w14:paraId="26E29071" w14:textId="77777777" w:rsidR="00F841C0" w:rsidRDefault="00000000">
      <w:pPr>
        <w:pStyle w:val="Heading2"/>
      </w:pPr>
      <w:r>
        <w:t>4. Assumption Checking</w:t>
      </w:r>
    </w:p>
    <w:p w14:paraId="5CCC09E7" w14:textId="77777777" w:rsidR="00F841C0" w:rsidRDefault="00000000">
      <w:pPr>
        <w:pStyle w:val="ListBullet"/>
      </w:pPr>
      <w:r>
        <w:t>Before selecting the main statistical test, the system should check statistical assumptions.</w:t>
      </w:r>
    </w:p>
    <w:p w14:paraId="1AA4CE5E" w14:textId="77777777" w:rsidR="00F841C0" w:rsidRDefault="00000000">
      <w:pPr>
        <w:pStyle w:val="ListBullet"/>
      </w:pPr>
      <w:r>
        <w:t>Recommended checks include:</w:t>
      </w:r>
    </w:p>
    <w:p w14:paraId="3F8DB1C2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Normality testing using Shapiro-Wilk test</w:t>
      </w:r>
    </w:p>
    <w:p w14:paraId="39E92F80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Homogeneity of variance using Levene’s test</w:t>
      </w:r>
    </w:p>
    <w:p w14:paraId="41D01B0A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lastRenderedPageBreak/>
        <w:t>- Sample size adequacy</w:t>
      </w:r>
    </w:p>
    <w:p w14:paraId="67AA2ACB" w14:textId="77777777" w:rsidR="00F841C0" w:rsidRDefault="00000000">
      <w:pPr>
        <w:pStyle w:val="Heading2"/>
      </w:pPr>
      <w:r>
        <w:t>5. Main Statistical Analysis – Parametric Workflow</w:t>
      </w:r>
    </w:p>
    <w:p w14:paraId="5356CB59" w14:textId="47600417" w:rsidR="00BD0195" w:rsidRDefault="00000000" w:rsidP="00BD0195">
      <w:pPr>
        <w:pStyle w:val="ListBullet"/>
      </w:pPr>
      <w:r>
        <w:t>Use this workflow when assumptions are reasonably satisfied.</w:t>
      </w:r>
    </w:p>
    <w:p w14:paraId="441D7B7D" w14:textId="77777777" w:rsidR="00F841C0" w:rsidRDefault="00000000">
      <w:pPr>
        <w:pStyle w:val="ListBullet"/>
      </w:pPr>
      <w:r>
        <w:t>If comparing two products:</w:t>
      </w:r>
    </w:p>
    <w:p w14:paraId="3A174440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 xml:space="preserve">- </w:t>
      </w:r>
      <w:proofErr w:type="gramStart"/>
      <w:r>
        <w:t>Independent t</w:t>
      </w:r>
      <w:proofErr w:type="gramEnd"/>
      <w:r>
        <w:t>-test for independent designs</w:t>
      </w:r>
    </w:p>
    <w:p w14:paraId="29A21CEC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Paired t-test for repeated-measures designs</w:t>
      </w:r>
    </w:p>
    <w:p w14:paraId="4B3C6320" w14:textId="77777777" w:rsidR="00F841C0" w:rsidRDefault="00000000">
      <w:pPr>
        <w:pStyle w:val="ListBullet"/>
      </w:pPr>
      <w:r>
        <w:t>If comparing three or more products:</w:t>
      </w:r>
    </w:p>
    <w:p w14:paraId="66B390D9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One-way ANOVA for independent designs</w:t>
      </w:r>
    </w:p>
    <w:p w14:paraId="11C8C6F3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Repeated Measures ANOVA for repeated-measures designs</w:t>
      </w:r>
    </w:p>
    <w:p w14:paraId="5E852441" w14:textId="59B767A9" w:rsidR="00F841C0" w:rsidRDefault="00BD0195" w:rsidP="00BD0195">
      <w:pPr>
        <w:pStyle w:val="ListBullet"/>
        <w:numPr>
          <w:ilvl w:val="0"/>
          <w:numId w:val="0"/>
        </w:numPr>
        <w:ind w:left="360"/>
      </w:pPr>
      <w:r>
        <w:t>-</w:t>
      </w:r>
      <w:r w:rsidR="00000000">
        <w:t>Recommended post hoc analyses include Tukey HSD or Bonferroni correction</w:t>
      </w:r>
      <w:r>
        <w:t xml:space="preserve"> (after ANOVA shows significant difference between samples)</w:t>
      </w:r>
      <w:r w:rsidR="00000000">
        <w:t>.</w:t>
      </w:r>
    </w:p>
    <w:p w14:paraId="34CCB27F" w14:textId="77777777" w:rsidR="00F841C0" w:rsidRDefault="00000000">
      <w:pPr>
        <w:pStyle w:val="Heading2"/>
      </w:pPr>
      <w:r>
        <w:t>6. Main Statistical Analysis – Nonparametric Workflow</w:t>
      </w:r>
    </w:p>
    <w:p w14:paraId="2BE886A8" w14:textId="77777777" w:rsidR="00F841C0" w:rsidRDefault="00000000">
      <w:pPr>
        <w:pStyle w:val="ListBullet"/>
      </w:pPr>
      <w:r>
        <w:t>Use this workflow when assumptions are violated.</w:t>
      </w:r>
    </w:p>
    <w:p w14:paraId="1282B0AD" w14:textId="77777777" w:rsidR="00F841C0" w:rsidRDefault="00000000">
      <w:pPr>
        <w:pStyle w:val="ListBullet"/>
      </w:pPr>
      <w:r>
        <w:t>If comparing two products:</w:t>
      </w:r>
    </w:p>
    <w:p w14:paraId="3AC0A7ED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Mann–Whitney U test for independent designs</w:t>
      </w:r>
    </w:p>
    <w:p w14:paraId="0BF70917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Wilcoxon signed-rank test for repeated-measures designs</w:t>
      </w:r>
    </w:p>
    <w:p w14:paraId="1F24709A" w14:textId="77777777" w:rsidR="00F841C0" w:rsidRDefault="00000000">
      <w:pPr>
        <w:pStyle w:val="ListBullet"/>
      </w:pPr>
      <w:r>
        <w:t>If comparing three or more products:</w:t>
      </w:r>
    </w:p>
    <w:p w14:paraId="54009517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Kruskal–</w:t>
      </w:r>
      <w:proofErr w:type="gramStart"/>
      <w:r>
        <w:t>Wallis</w:t>
      </w:r>
      <w:proofErr w:type="gramEnd"/>
      <w:r>
        <w:t xml:space="preserve"> test for independent designs</w:t>
      </w:r>
    </w:p>
    <w:p w14:paraId="356488B2" w14:textId="77777777" w:rsidR="00F841C0" w:rsidRDefault="00000000" w:rsidP="00BD0195">
      <w:pPr>
        <w:pStyle w:val="ListBullet"/>
        <w:numPr>
          <w:ilvl w:val="0"/>
          <w:numId w:val="0"/>
        </w:numPr>
        <w:ind w:left="360"/>
      </w:pPr>
      <w:r>
        <w:t>- Friedman test for repeated-measures designs</w:t>
      </w:r>
    </w:p>
    <w:p w14:paraId="6CDCD95F" w14:textId="77777777" w:rsidR="00F841C0" w:rsidRDefault="00000000">
      <w:pPr>
        <w:pStyle w:val="ListBullet"/>
      </w:pPr>
      <w:r>
        <w:t xml:space="preserve">Recommended post hoc analyses include Dunn’s test </w:t>
      </w:r>
      <w:proofErr w:type="gramStart"/>
      <w:r>
        <w:t>or pairwise</w:t>
      </w:r>
      <w:proofErr w:type="gramEnd"/>
      <w:r>
        <w:t xml:space="preserve"> Wilcoxon tests with correction.</w:t>
      </w:r>
    </w:p>
    <w:p w14:paraId="6F8C0101" w14:textId="77777777" w:rsidR="00F841C0" w:rsidRDefault="00000000">
      <w:pPr>
        <w:pStyle w:val="Heading2"/>
      </w:pPr>
      <w:r>
        <w:t>7. Effect Size Calculation</w:t>
      </w:r>
    </w:p>
    <w:p w14:paraId="690F67FD" w14:textId="77777777" w:rsidR="00F841C0" w:rsidRDefault="00000000">
      <w:pPr>
        <w:pStyle w:val="ListBullet"/>
      </w:pPr>
      <w:r>
        <w:t>TARAsense should automatically calculate effect sizes in addition to p-values.</w:t>
      </w:r>
    </w:p>
    <w:p w14:paraId="0F155305" w14:textId="77777777" w:rsidR="00F841C0" w:rsidRDefault="00000000">
      <w:pPr>
        <w:pStyle w:val="ListBullet"/>
      </w:pPr>
      <w:r>
        <w:t>Recommended effect sizes include:</w:t>
      </w:r>
    </w:p>
    <w:p w14:paraId="401E8ED4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Cohen’s d</w:t>
      </w:r>
    </w:p>
    <w:p w14:paraId="6F5A34B4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 xml:space="preserve">- Eta </w:t>
      </w:r>
      <w:proofErr w:type="gramStart"/>
      <w:r>
        <w:t>squared</w:t>
      </w:r>
      <w:proofErr w:type="gramEnd"/>
    </w:p>
    <w:p w14:paraId="72A4C77C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 xml:space="preserve">- Partial </w:t>
      </w:r>
      <w:proofErr w:type="gramStart"/>
      <w:r>
        <w:t>eta</w:t>
      </w:r>
      <w:proofErr w:type="gramEnd"/>
      <w:r>
        <w:t xml:space="preserve"> squared</w:t>
      </w:r>
    </w:p>
    <w:p w14:paraId="3685E80B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Kendall’s W</w:t>
      </w:r>
    </w:p>
    <w:p w14:paraId="4A23BB8C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Rank biserial correlation</w:t>
      </w:r>
    </w:p>
    <w:p w14:paraId="57DEC39F" w14:textId="77777777" w:rsidR="00F841C0" w:rsidRDefault="00000000">
      <w:pPr>
        <w:pStyle w:val="ListBullet"/>
      </w:pPr>
      <w:r>
        <w:t>Effect sizes provide practical interpretation of consumer differences.</w:t>
      </w:r>
    </w:p>
    <w:p w14:paraId="18039BD5" w14:textId="77777777" w:rsidR="00F841C0" w:rsidRDefault="00000000">
      <w:pPr>
        <w:pStyle w:val="Heading2"/>
      </w:pPr>
      <w:r>
        <w:t>8. Consumer Acceptability Interpretation</w:t>
      </w:r>
    </w:p>
    <w:p w14:paraId="5D7DF186" w14:textId="77777777" w:rsidR="00F841C0" w:rsidRDefault="00000000">
      <w:pPr>
        <w:pStyle w:val="ListBullet"/>
      </w:pPr>
      <w:r>
        <w:t>The system should automatically classify product acceptability levels.</w:t>
      </w:r>
    </w:p>
    <w:p w14:paraId="43A795E5" w14:textId="77777777" w:rsidR="00F841C0" w:rsidRDefault="00000000">
      <w:pPr>
        <w:pStyle w:val="ListBullet"/>
      </w:pPr>
      <w:r>
        <w:t>Example classification:</w:t>
      </w:r>
    </w:p>
    <w:p w14:paraId="0F2E4178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Mean score ≥ 7: Highly acceptable</w:t>
      </w:r>
    </w:p>
    <w:p w14:paraId="7C9252CF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Mean score 5–6: Moderately acceptable or neutral</w:t>
      </w:r>
    </w:p>
    <w:p w14:paraId="147FD493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Mean score &lt; 5: Low acceptability</w:t>
      </w:r>
    </w:p>
    <w:p w14:paraId="070ACB2C" w14:textId="77777777" w:rsidR="00F841C0" w:rsidRDefault="00000000">
      <w:pPr>
        <w:pStyle w:val="Heading2"/>
      </w:pPr>
      <w:r>
        <w:t>9. Advanced Sensory Intelligence Features</w:t>
      </w:r>
    </w:p>
    <w:p w14:paraId="4420FA33" w14:textId="77777777" w:rsidR="00F841C0" w:rsidRDefault="00000000">
      <w:pPr>
        <w:pStyle w:val="ListBullet"/>
      </w:pPr>
      <w:r>
        <w:t>After primary statistical analysis, TARAsense may provide advanced analytics including:</w:t>
      </w:r>
    </w:p>
    <w:p w14:paraId="402B5E9A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lastRenderedPageBreak/>
        <w:t>- Preference mapping</w:t>
      </w:r>
    </w:p>
    <w:p w14:paraId="5AD91F3F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Consumer segmentation using clustering</w:t>
      </w:r>
    </w:p>
    <w:p w14:paraId="5690A3E7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Principal Component Analysis (PCA)</w:t>
      </w:r>
    </w:p>
    <w:p w14:paraId="05ECC3F7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Penalty analysis</w:t>
      </w:r>
    </w:p>
    <w:p w14:paraId="6726958C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Mean drop analysis</w:t>
      </w:r>
    </w:p>
    <w:p w14:paraId="4E440C40" w14:textId="77777777" w:rsidR="00F841C0" w:rsidRDefault="00000000">
      <w:pPr>
        <w:pStyle w:val="ListBullet"/>
      </w:pPr>
      <w:r>
        <w:t>These features help identify drivers of liking and consumer groups.</w:t>
      </w:r>
    </w:p>
    <w:p w14:paraId="2396DEC6" w14:textId="77777777" w:rsidR="00F841C0" w:rsidRDefault="00000000">
      <w:pPr>
        <w:pStyle w:val="Heading2"/>
      </w:pPr>
      <w:r>
        <w:t>10. Reporting and Visualization</w:t>
      </w:r>
    </w:p>
    <w:p w14:paraId="6DED1E81" w14:textId="77777777" w:rsidR="00F841C0" w:rsidRDefault="00000000">
      <w:pPr>
        <w:pStyle w:val="ListBullet"/>
      </w:pPr>
      <w:r>
        <w:t>TARAsense should automatically generate statistical summaries and visual outputs.</w:t>
      </w:r>
    </w:p>
    <w:p w14:paraId="3CB82D21" w14:textId="77777777" w:rsidR="00F841C0" w:rsidRDefault="00000000">
      <w:pPr>
        <w:pStyle w:val="ListBullet"/>
      </w:pPr>
      <w:r>
        <w:t>Recommended outputs include:</w:t>
      </w:r>
    </w:p>
    <w:p w14:paraId="00A824FB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Means and standard deviations</w:t>
      </w:r>
    </w:p>
    <w:p w14:paraId="4D9F6A6E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Confidence intervals</w:t>
      </w:r>
    </w:p>
    <w:p w14:paraId="77C2CF1B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p-values</w:t>
      </w:r>
    </w:p>
    <w:p w14:paraId="07903F9D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Effect sizes</w:t>
      </w:r>
    </w:p>
    <w:p w14:paraId="495ABA2C" w14:textId="5E178BE6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Boxplots</w:t>
      </w:r>
    </w:p>
    <w:p w14:paraId="38A5004D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Preference maps</w:t>
      </w:r>
    </w:p>
    <w:p w14:paraId="2D096D67" w14:textId="77777777" w:rsidR="00F841C0" w:rsidRDefault="00000000">
      <w:pPr>
        <w:pStyle w:val="ListBullet"/>
      </w:pPr>
      <w:r>
        <w:t>The system should also generate automatic plain-language interpretations.</w:t>
      </w:r>
    </w:p>
    <w:p w14:paraId="5DB6E3AE" w14:textId="77777777" w:rsidR="00F841C0" w:rsidRDefault="00000000">
      <w:pPr>
        <w:pStyle w:val="Heading2"/>
      </w:pPr>
      <w:r>
        <w:t>11. Recommended TARAsense Logic</w:t>
      </w:r>
    </w:p>
    <w:p w14:paraId="4C496D31" w14:textId="77777777" w:rsidR="00F841C0" w:rsidRDefault="00000000">
      <w:pPr>
        <w:pStyle w:val="ListBullet"/>
      </w:pPr>
      <w:r>
        <w:t>Instead of simply asking users to choose a statistical test, TARAsense should intelligently recommend the correct analysis based on:</w:t>
      </w:r>
    </w:p>
    <w:p w14:paraId="37EEC89E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Study design</w:t>
      </w:r>
    </w:p>
    <w:p w14:paraId="5E932ABD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Number of samples</w:t>
      </w:r>
    </w:p>
    <w:p w14:paraId="4EDB9097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Assumption checks</w:t>
      </w:r>
    </w:p>
    <w:p w14:paraId="5846DB54" w14:textId="77777777" w:rsidR="00F841C0" w:rsidRDefault="00000000" w:rsidP="009031B1">
      <w:pPr>
        <w:pStyle w:val="ListBullet"/>
        <w:numPr>
          <w:ilvl w:val="0"/>
          <w:numId w:val="0"/>
        </w:numPr>
        <w:ind w:left="360"/>
      </w:pPr>
      <w:r>
        <w:t>- Data structure</w:t>
      </w:r>
    </w:p>
    <w:p w14:paraId="315903A0" w14:textId="77777777" w:rsidR="00F841C0" w:rsidRDefault="00000000">
      <w:pPr>
        <w:pStyle w:val="ListBullet"/>
      </w:pPr>
      <w:r>
        <w:t>Example system output:</w:t>
      </w:r>
    </w:p>
    <w:p w14:paraId="3EECF05C" w14:textId="77777777" w:rsidR="00F841C0" w:rsidRDefault="00000000">
      <w:pPr>
        <w:pStyle w:val="ListBullet"/>
      </w:pPr>
      <w:r>
        <w:t>“Based on your study design and assumption checks, Repeated Measures ANOVA is the most statistically appropriate analysis.”</w:t>
      </w:r>
    </w:p>
    <w:p w14:paraId="22CDCE18" w14:textId="77777777" w:rsidR="00F841C0" w:rsidRDefault="00000000">
      <w:r>
        <w:rPr>
          <w:b/>
        </w:rPr>
        <w:t>Key Principle: TARAsense should not only automate calculations, but also automate statistically correct sensory decision-making.</w:t>
      </w:r>
    </w:p>
    <w:sectPr w:rsidR="00F84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614233">
    <w:abstractNumId w:val="8"/>
  </w:num>
  <w:num w:numId="2" w16cid:durableId="308439672">
    <w:abstractNumId w:val="6"/>
  </w:num>
  <w:num w:numId="3" w16cid:durableId="122312415">
    <w:abstractNumId w:val="5"/>
  </w:num>
  <w:num w:numId="4" w16cid:durableId="124935463">
    <w:abstractNumId w:val="4"/>
  </w:num>
  <w:num w:numId="5" w16cid:durableId="1704090982">
    <w:abstractNumId w:val="7"/>
  </w:num>
  <w:num w:numId="6" w16cid:durableId="1877504521">
    <w:abstractNumId w:val="3"/>
  </w:num>
  <w:num w:numId="7" w16cid:durableId="269973201">
    <w:abstractNumId w:val="2"/>
  </w:num>
  <w:num w:numId="8" w16cid:durableId="1966541073">
    <w:abstractNumId w:val="1"/>
  </w:num>
  <w:num w:numId="9" w16cid:durableId="164511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D35"/>
    <w:rsid w:val="007112F6"/>
    <w:rsid w:val="008C1A42"/>
    <w:rsid w:val="008E376B"/>
    <w:rsid w:val="009031B1"/>
    <w:rsid w:val="00AA1D8D"/>
    <w:rsid w:val="00B47730"/>
    <w:rsid w:val="00BD0195"/>
    <w:rsid w:val="00CB0664"/>
    <w:rsid w:val="00F84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3B0EF"/>
  <w14:defaultImageDpi w14:val="300"/>
  <w15:docId w15:val="{96C103D6-BDD5-4608-8C96-CAC87C1D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Mariero Gawat</cp:lastModifiedBy>
  <cp:revision>4</cp:revision>
  <dcterms:created xsi:type="dcterms:W3CDTF">2026-05-09T07:16:00Z</dcterms:created>
  <dcterms:modified xsi:type="dcterms:W3CDTF">2026-05-09T07:32:00Z</dcterms:modified>
  <cp:category/>
</cp:coreProperties>
</file>