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0" w:lineRule="auto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56"/>
          <w:szCs w:val="56"/>
          <w:rtl w:val="0"/>
        </w:rPr>
        <w:t xml:space="preserve">Сравнительный анализ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before="0" w:lineRule="auto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56"/>
          <w:szCs w:val="56"/>
          <w:rtl w:val="0"/>
        </w:rPr>
        <w:t xml:space="preserve">ссылочного профиля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</w:p>
    <w:p w:rsidR="00000000" w:rsidDel="00000000" w:rsidP="00000000" w:rsidRDefault="00000000" w:rsidRPr="00000000" w14:paraId="00000005">
      <w:pPr>
        <w:spacing w:after="160" w:before="32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  <w:rtl w:val="0"/>
        </w:rPr>
        <w:t xml:space="preserve">Цель отчета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z w:val="20"/>
          <w:szCs w:val="20"/>
          <w:rtl w:val="0"/>
        </w:rPr>
        <w:t xml:space="preserve">Сравнить текущий ссылочный профиль сайта azt-teplica.ru с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z w:val="20"/>
          <w:szCs w:val="20"/>
          <w:rtl w:val="0"/>
        </w:rPr>
        <w:t xml:space="preserve">конкурентами — teplitsa-store.ru и zavodteplic.ru — и определить, насколько сайт отстаёт по масштабу, структуре и качеству ссылочной массы, а также какие конкретные шаги нужно предпринять, чтобы сократить разрыв.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before="32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  <w:rtl w:val="0"/>
        </w:rPr>
        <w:t xml:space="preserve">Сравнение ключевых метрик</w:t>
      </w:r>
      <w:r w:rsidDel="00000000" w:rsidR="00000000" w:rsidRPr="00000000">
        <w:rPr>
          <w:rtl w:val="0"/>
        </w:rPr>
      </w:r>
    </w:p>
    <w:tbl>
      <w:tblPr>
        <w:tblStyle w:val="Table1"/>
        <w:tblW w:w="9026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1942"/>
        <w:gridCol w:w="1942"/>
        <w:gridCol w:w="1942"/>
        <w:tblGridChange w:id="0">
          <w:tblGrid>
            <w:gridCol w:w="3200"/>
            <w:gridCol w:w="1942"/>
            <w:gridCol w:w="1942"/>
            <w:gridCol w:w="194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Показатель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azt-teplica.ru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teplitsa-store.ru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zavodteplic.ru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z w:val="19"/>
                <w:szCs w:val="19"/>
                <w:rtl w:val="0"/>
              </w:rPr>
              <w:t xml:space="preserve">Ссылки (всего)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362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7 999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z w:val="19"/>
                <w:szCs w:val="19"/>
                <w:rtl w:val="0"/>
              </w:rPr>
              <w:t xml:space="preserve">Домены-доноры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800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z w:val="19"/>
                <w:szCs w:val="19"/>
                <w:rtl w:val="0"/>
              </w:rPr>
              <w:t xml:space="preserve">IP-адреса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532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z w:val="19"/>
                <w:szCs w:val="19"/>
                <w:rtl w:val="0"/>
              </w:rPr>
              <w:t xml:space="preserve">Dofollow ссылок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61.6%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d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87.3%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d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78.3%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z w:val="19"/>
                <w:szCs w:val="19"/>
                <w:rtl w:val="0"/>
              </w:rPr>
              <w:t xml:space="preserve">Dofollow доменов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28.2%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40.7%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18.6%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z w:val="19"/>
                <w:szCs w:val="19"/>
                <w:rtl w:val="0"/>
              </w:rPr>
              <w:t xml:space="preserve">Уникальные анкоры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303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z w:val="19"/>
                <w:szCs w:val="19"/>
                <w:rtl w:val="0"/>
              </w:rPr>
              <w:t xml:space="preserve">Разнообразие анкоров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8.1%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15.5%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3.8%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z w:val="19"/>
                <w:szCs w:val="19"/>
                <w:rtl w:val="0"/>
              </w:rPr>
              <w:t xml:space="preserve">Текст / Картинки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88.4% / 11.6%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100% / 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98.1% / 1.9%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z w:val="19"/>
                <w:szCs w:val="19"/>
                <w:rtl w:val="0"/>
              </w:rPr>
              <w:t xml:space="preserve">Доля ссылок на главную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61.6%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100.0%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52.6%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z w:val="19"/>
                <w:szCs w:val="19"/>
                <w:rtl w:val="0"/>
              </w:rPr>
              <w:t xml:space="preserve">Связанных страниц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d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265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before="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azt-teplica.ru критически уступает конкурентам по масштабу — разрыв измеряется в разах, а не в процентах.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teplitsa-store.ru — ближайший конкурент, но его профиль структурно однобок: 100% ссылок только на главную.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zavodteplic.ru — тяжёлый игрок с признаками black-link активности; копировать его модель не рекомендуется.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12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before="320" w:lineRule="auto"/>
        <w:rPr>
          <w:rFonts w:ascii="Montserrat" w:cs="Montserrat" w:eastAsia="Montserrat" w:hAnsi="Montserrat"/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before="32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  <w:rtl w:val="0"/>
        </w:rPr>
        <w:t xml:space="preserve">Сравнение качества профиля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613"/>
        <w:gridCol w:w="3613"/>
        <w:tblGridChange w:id="0">
          <w:tblGrid>
            <w:gridCol w:w="1800"/>
            <w:gridCol w:w="3613"/>
            <w:gridCol w:w="36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Сайт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Сильные стороны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Слабые стороны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z w:val="19"/>
                <w:szCs w:val="19"/>
                <w:rtl w:val="0"/>
              </w:rPr>
              <w:t xml:space="preserve">azt-teplica.ru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Чистый профиль без black-link активности; плавный органический рост; есть несколько тематических анкоров (теплицы, Александровский завод).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Критически мало доменов и анкоров; 1/3 ссылок — технический мусор Tilda на /privacy; почти нет веса на внутренних страницах; только 28.2% доменов дают dofollow.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z w:val="19"/>
                <w:szCs w:val="19"/>
                <w:rtl w:val="0"/>
              </w:rPr>
              <w:t xml:space="preserve">teplitsa-store.ru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Богатая анкорная картина с коммерческими формулировками (теплицы из поликарбоната, купить теплицу, теплицы от производителя); высокий dofollow (87.3%).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100% ссылок только на главную страницу; резкий скачок роста в январе 2026 — признак разовой закупки; нулевая доля image-ссылок — неестественная однородность.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z w:val="19"/>
                <w:szCs w:val="19"/>
                <w:rtl w:val="0"/>
              </w:rPr>
              <w:t xml:space="preserve">zavodteplic.ru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Самый крупный профиль; хорошее распределение по внутренним страницам (47.4%); 265 связанных страниц; сильные анкоры по коммерческим запросам.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Прямые black-link сигналы (TELEGRAM @SEO_ANOMALY в анкорах); 99 доменов ведут на /kur/payment — подозрительная концентрация; низкое разнообразие анкоров 3.8% при 303 уникальных.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0" w:before="12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before="32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  <w:rtl w:val="0"/>
        </w:rPr>
        <w:t xml:space="preserve">Профиль сайта azt-teplica.ru</w:t>
      </w: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3cd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4A">
            <w:pPr>
              <w:spacing w:after="0" w:before="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Краткий вывод: У сайта очень слабый и структурно проблемный ссылочный профиль. Главная угроза — не отсутствие ссылок само по себе, а то, что треть всей ссылочной массы уходит на страницу /privacy через шаблонные Tilda-ссылки. Коммерческие разделы практически не получают ссылочного веса.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0" w:before="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Основные наблюдения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Профиль маленький: 86 ссылок, 39 доменов, 17 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Всего 7 уникальных анкоров при разнообразии 8.1% — профиль крайне узкий, почти полностью брендовый.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34.9% ссылок (30 штук) с анкором «политикой конфиденциальности» ведут на /privacy — типичный след шаблонного Tilda-блока в футере, не SEO-доноры.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61.6% ссылок на главную — /catalog получает лишь 5 ссылок (5.8%) и всего 1 уникальный донор.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Только 28.2% доменов дают dofollow-ссылки (11 из 39) — необычно низкий показатель.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88.2% IP приходятся на С-блоки (15 из 17) — высокая концентрация, характерная для кластерного хостинга.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80" w:before="8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0" distT="0" distL="0" distR="0">
            <wp:extent cx="5972175" cy="4933950"/>
            <wp:effectExtent b="0" l="0" r="0" t="0"/>
            <wp:docPr id="6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93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before="18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80" w:before="8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0" distT="0" distL="0" distR="0">
            <wp:extent cx="5972175" cy="5486400"/>
            <wp:effectExtent b="0" l="0" r="0" t="0"/>
            <wp:docPr id="8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48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80" w:before="18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80" w:before="8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0" distT="0" distL="0" distR="0">
            <wp:extent cx="5972175" cy="3400425"/>
            <wp:effectExtent b="0" l="0" r="0" t="0"/>
            <wp:docPr id="7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400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before="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before="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</w:p>
    <w:p w:rsidR="00000000" w:rsidDel="00000000" w:rsidP="00000000" w:rsidRDefault="00000000" w:rsidRPr="00000000" w14:paraId="0000005C">
      <w:pPr>
        <w:spacing w:after="160" w:before="32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  <w:rtl w:val="0"/>
        </w:rPr>
        <w:t xml:space="preserve">Профиль конкурента teplitsa-store.ru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Основные наблюдения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Профиль значительно больше: 362 ссылки, 54 домена, 35 IP — против 86/39/17 у azt-teplica.ru.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87.3% dofollow — очень высокий показатель, характерный для активной закупки ссылок.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56 уникальных анкоров при разнообразии 15.5% — есть коммерческие формулировки: «теплицы из поликарбоната», «купить теплицу», «теплицы от производителя».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99.7% ссылок (361 из 362) ведут на главную страницу — при наличии 56 разных анкоров это указывает на механическую закупку без архитектурной логики.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Резкий скачок с ~20 до ~360 ссылок произошёл в декабре 2025 — январе 2026 — признак разовой закупки, а не планомерного роста.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100% ссылок — текстовые, ноль image-ссылок — нетипичная картина, усиливает подозрение на покупной профиль.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80" w:before="8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0" distT="0" distL="0" distR="0">
            <wp:extent cx="5972175" cy="4438650"/>
            <wp:effectExtent b="0" l="0" r="0" t="0"/>
            <wp:docPr id="10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43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before="18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80" w:before="8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0" distT="0" distL="0" distR="0">
            <wp:extent cx="5972175" cy="5448300"/>
            <wp:effectExtent b="0" l="0" r="0" t="0"/>
            <wp:docPr id="9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44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before="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80" w:before="18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80" w:before="8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0" distT="0" distL="0" distR="0">
            <wp:extent cx="5972175" cy="4048125"/>
            <wp:effectExtent b="0" l="0" r="0" t="0"/>
            <wp:docPr id="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04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before="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18"/>
          <w:szCs w:val="18"/>
          <w:rtl w:val="0"/>
        </w:rPr>
        <w:t xml:space="preserve">Из 56 анкоров минимум 8 — реально коммерческие тематические формулировки. Брендовые анкоры занимают ~55% от всех ссылок — типичный покупной профиль с частичной тематизацией.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</w:p>
    <w:p w:rsidR="00000000" w:rsidDel="00000000" w:rsidP="00000000" w:rsidRDefault="00000000" w:rsidRPr="00000000" w14:paraId="0000006F">
      <w:pPr>
        <w:spacing w:after="160" w:before="32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  <w:rtl w:val="0"/>
        </w:rPr>
        <w:t xml:space="preserve">Профиль конкурента zavodteplic.ru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Основные наблюдения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Разрыв с azt-teplica.ru по числу доменов превышает 20 раз: 800 против 39.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47.4% ссылок ведут не на главную, а на внутренние страницы — 265 связанных страниц. С архитектурной точки зрения это сильная модель.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78.3% dofollow-ссылок — высокий показатель, характерный для активной закупки.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303 уникальных анкора при всего 3.8% разнообразия — парадокс объясняется массовым дублированием анкоров с одним и тем же текстом.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В таблице анкоров — прямые сигналы black-link активности: «TELEGRAM @SEO_ANOMALY - seo backlinks, black-links» как анкор у 99 доменов.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99 доменов ведут на /kur/payment — концентрация в нетипичном разделе указывает на спамные ссылки.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before="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80" w:before="8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0" distT="0" distL="0" distR="0">
            <wp:extent cx="5972175" cy="4714875"/>
            <wp:effectExtent b="0" l="0" r="0" t="0"/>
            <wp:docPr id="1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71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before="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80" w:before="8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0" distT="0" distL="0" distR="0">
            <wp:extent cx="5972175" cy="5819775"/>
            <wp:effectExtent b="0" l="0" r="0" t="0"/>
            <wp:docPr id="4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81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80" w:before="18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80" w:before="8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0" distT="0" distL="0" distR="0">
            <wp:extent cx="5972175" cy="4029075"/>
            <wp:effectExtent b="0" l="0" r="0" t="0"/>
            <wp:docPr id="3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02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before="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18"/>
          <w:szCs w:val="18"/>
          <w:rtl w:val="0"/>
        </w:rPr>
        <w:t xml:space="preserve">В таблице анкоров видны прямые сигналы black-link активности: «TELEGRAM @SEO_ANOMALY - SEO BACKLINKS, BLACK-LINKS, TRAFFIC BOOST, LINK INDE...» — это означает использование сеток для накрутки. Копировать данную модель крайне рискованно.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</w:p>
    <w:p w:rsidR="00000000" w:rsidDel="00000000" w:rsidP="00000000" w:rsidRDefault="00000000" w:rsidRPr="00000000" w14:paraId="00000081">
      <w:pPr>
        <w:spacing w:after="160" w:before="32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  <w:rtl w:val="0"/>
        </w:rPr>
        <w:t xml:space="preserve">Вывод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По сравнению с teplitsa-store.ru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azt-teplica.ru уступает по объёму, но teplitsa-store.ru не распределяет ссылочный вес по внутренним страницам — это его главная уязвимость.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Если наращивать 20–30 качественных доноров на /catalog и гео-посадочные страницы, azt-teplica.ru может опередить конкурента по архитектурной силе профиля без копирования закупочных практик.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teplitsa-store.ru — тот конкурент, которого реально обгонять за счёт качества и правильного распределения, а не за счёт количества.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before="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По сравнению с zavodteplic.ru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На короткой дистанции конкурировать с zavodteplic.ru только ссылками нецелесообразно — разрыв слишком большой.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Заимствовать стоит только архитектурную логику: распределение ссылок по внутренним URL, брендовым разделам и каталогу.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Копировать black-link стратегию (Telegram-сетки, /kur/payment) категорически не рекомендуется: это повышает риск санкций и нестабильности профиля.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before="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before="12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60" w:before="32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  <w:rtl w:val="0"/>
        </w:rPr>
        <w:t xml:space="preserve">Как растить анкоры: план действий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before="8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z w:val="20"/>
          <w:szCs w:val="20"/>
          <w:rtl w:val="0"/>
        </w:rPr>
        <w:t xml:space="preserve">Текущий профиль ezt-teplica.ru содержит только 7 уникальных анкоров при разнообразии 8.1%. Ниже — приоритетные анкоры для наращивания с указанием целевых страниц.</w:t>
      </w:r>
      <w:r w:rsidDel="00000000" w:rsidR="00000000" w:rsidRPr="00000000">
        <w:rPr>
          <w:rtl w:val="0"/>
        </w:rPr>
      </w:r>
    </w:p>
    <w:tbl>
      <w:tblPr>
        <w:tblStyle w:val="Table4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5"/>
        <w:gridCol w:w="1935"/>
        <w:gridCol w:w="2280"/>
        <w:gridCol w:w="2595"/>
        <w:tblGridChange w:id="0">
          <w:tblGrid>
            <w:gridCol w:w="2205"/>
            <w:gridCol w:w="1935"/>
            <w:gridCol w:w="2280"/>
            <w:gridCol w:w="25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z w:val="19"/>
                <w:szCs w:val="19"/>
                <w:rtl w:val="0"/>
              </w:rPr>
              <w:t xml:space="preserve">Анкор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z w:val="19"/>
                <w:szCs w:val="19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z w:val="19"/>
                <w:szCs w:val="19"/>
                <w:rtl w:val="0"/>
              </w:rPr>
              <w:t xml:space="preserve">Целевая страница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z w:val="19"/>
                <w:szCs w:val="19"/>
                <w:rtl w:val="0"/>
              </w:rPr>
              <w:t xml:space="preserve">Приоритет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теплицы из поликарбоната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d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Коммерческий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/catalog или /tepliczy-iz-polikarbonata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z w:val="19"/>
                <w:szCs w:val="19"/>
                <w:rtl w:val="0"/>
              </w:rPr>
              <w:t xml:space="preserve">Высокий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купить теплицу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d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Коммерческий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/catalog или категория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z w:val="19"/>
                <w:szCs w:val="19"/>
                <w:rtl w:val="0"/>
              </w:rPr>
              <w:t xml:space="preserve">Высокий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теплицы от производителя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d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Коммерческий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/catalog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z w:val="19"/>
                <w:szCs w:val="19"/>
                <w:rtl w:val="0"/>
              </w:rPr>
              <w:t xml:space="preserve">Высокий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теплицы Пермь / купить теплицу Пермь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Гео-коммерческий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Посадочная страница /perm или аналог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z w:val="19"/>
                <w:szCs w:val="19"/>
                <w:rtl w:val="0"/>
              </w:rPr>
              <w:t xml:space="preserve">Высокий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парники для 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Информационный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/blog или статейный раздел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Средний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теплица из поликарбоната купить недорого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d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Коммерческий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/catalog с фильтром цены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Средний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azt-teplica.ru (бренд)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Брендовый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Главная страница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z w:val="19"/>
                <w:szCs w:val="19"/>
                <w:rtl w:val="0"/>
              </w:rPr>
              <w:t xml:space="preserve">Поддерживающий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pacing w:after="0" w:before="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before="12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headerReference r:id="rId15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tabs>
        <w:tab w:val="center" w:leader="none" w:pos="4677"/>
        <w:tab w:val="right" w:leader="none" w:pos="9355"/>
      </w:tabs>
      <w:spacing w:line="264" w:lineRule="auto"/>
      <w:ind w:left="-851" w:firstLine="0"/>
      <w:rPr/>
    </w:pPr>
    <w:r w:rsidDel="00000000" w:rsidR="00000000" w:rsidRPr="00000000">
      <w:rPr>
        <w:rFonts w:ascii="Calibri" w:cs="Calibri" w:eastAsia="Calibri" w:hAnsi="Calibri"/>
      </w:rPr>
      <w:drawing>
        <wp:inline distB="0" distT="0" distL="0" distR="0">
          <wp:extent cx="6435717" cy="812483"/>
          <wp:effectExtent b="0" l="0" r="0" t="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35717" cy="81248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6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jpg"/><Relationship Id="rId10" Type="http://schemas.openxmlformats.org/officeDocument/2006/relationships/image" Target="media/image2.jpg"/><Relationship Id="rId13" Type="http://schemas.openxmlformats.org/officeDocument/2006/relationships/image" Target="media/image7.jpg"/><Relationship Id="rId12" Type="http://schemas.openxmlformats.org/officeDocument/2006/relationships/image" Target="media/image9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jpg"/><Relationship Id="rId15" Type="http://schemas.openxmlformats.org/officeDocument/2006/relationships/header" Target="header1.xml"/><Relationship Id="rId14" Type="http://schemas.openxmlformats.org/officeDocument/2006/relationships/image" Target="media/image8.jpg"/><Relationship Id="rId5" Type="http://schemas.openxmlformats.org/officeDocument/2006/relationships/styles" Target="styles.xml"/><Relationship Id="rId6" Type="http://schemas.openxmlformats.org/officeDocument/2006/relationships/image" Target="media/image5.jpg"/><Relationship Id="rId7" Type="http://schemas.openxmlformats.org/officeDocument/2006/relationships/image" Target="media/image3.jpg"/><Relationship Id="rId8" Type="http://schemas.openxmlformats.org/officeDocument/2006/relationships/image" Target="media/image4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