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pBdr>
          <w:bottom w:val="single" w:sz="8" w:space="3" w:color="1F4E79"/>
        </w:pBdr>
      </w:pPr>
      <w:r>
        <w:t>Northstar Analytics - FY2026 Q3 Board Memo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608"/>
        <w:gridCol w:w="4608"/>
      </w:tblGrid>
      <w:tr>
        <w:tc>
          <w:tcPr>
            <w:tcW w:type="dxa" w:w="2160"/>
            <w:shd w:val="clear" w:color="auto" w:fill="EFF2F6"/>
          </w:tcPr>
          <w:p>
            <w:pPr>
              <w:spacing w:after="40" w:before="40"/>
            </w:pPr>
            <w:r>
              <w:rPr>
                <w:rFonts w:ascii="Calibri" w:hAnsi="Calibri"/>
                <w:b/>
                <w:color w:val="1F4E79"/>
                <w:sz w:val="20"/>
              </w:rPr>
              <w:t>To</w:t>
            </w:r>
          </w:p>
        </w:tc>
        <w:tc>
          <w:tcPr>
            <w:tcW w:type="dxa" w:w="7056"/>
            <w:shd w:val="clear" w:color="auto" w:fill="EFF2F6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sz w:val="20"/>
              </w:rPr>
              <w:t>Board of Directors</w:t>
            </w:r>
          </w:p>
        </w:tc>
      </w:tr>
      <w:tr>
        <w:tc>
          <w:tcPr>
            <w:tcW w:type="dxa" w:w="2160"/>
          </w:tcPr>
          <w:p>
            <w:pPr>
              <w:spacing w:after="40" w:before="40"/>
            </w:pPr>
            <w:r>
              <w:rPr>
                <w:rFonts w:ascii="Calibri" w:hAnsi="Calibri"/>
                <w:b/>
                <w:color w:val="1F4E79"/>
                <w:sz w:val="20"/>
              </w:rPr>
              <w:t>From</w:t>
            </w:r>
          </w:p>
        </w:tc>
        <w:tc>
          <w:tcPr>
            <w:tcW w:type="dxa" w:w="7056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sz w:val="20"/>
              </w:rPr>
              <w:t>Priya Shah, VP Finance</w:t>
            </w:r>
          </w:p>
        </w:tc>
      </w:tr>
      <w:tr>
        <w:tc>
          <w:tcPr>
            <w:tcW w:type="dxa" w:w="2160"/>
            <w:shd w:val="clear" w:color="auto" w:fill="EFF2F6"/>
          </w:tcPr>
          <w:p>
            <w:pPr>
              <w:spacing w:after="40" w:before="40"/>
            </w:pPr>
            <w:r>
              <w:rPr>
                <w:rFonts w:ascii="Calibri" w:hAnsi="Calibri"/>
                <w:b/>
                <w:color w:val="1F4E79"/>
                <w:sz w:val="20"/>
              </w:rPr>
              <w:t>Date</w:t>
            </w:r>
          </w:p>
        </w:tc>
        <w:tc>
          <w:tcPr>
            <w:tcW w:type="dxa" w:w="7056"/>
            <w:shd w:val="clear" w:color="auto" w:fill="EFF2F6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sz w:val="20"/>
              </w:rPr>
              <w:t>17 August 2026</w:t>
            </w:r>
          </w:p>
        </w:tc>
      </w:tr>
      <w:tr>
        <w:tc>
          <w:tcPr>
            <w:tcW w:type="dxa" w:w="2160"/>
          </w:tcPr>
          <w:p>
            <w:pPr>
              <w:spacing w:after="40" w:before="40"/>
            </w:pPr>
            <w:r>
              <w:rPr>
                <w:rFonts w:ascii="Calibri" w:hAnsi="Calibri"/>
                <w:b/>
                <w:color w:val="1F4E79"/>
                <w:sz w:val="20"/>
              </w:rPr>
              <w:t>Re</w:t>
            </w:r>
          </w:p>
        </w:tc>
        <w:tc>
          <w:tcPr>
            <w:tcW w:type="dxa" w:w="7056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sz w:val="20"/>
              </w:rPr>
              <w:t>Q3 FY2026 operating results, commission rate and Q4 asks</w:t>
            </w:r>
          </w:p>
        </w:tc>
      </w:tr>
    </w:tbl>
    <w:p>
      <w:pPr>
        <w:pStyle w:val="Heading2"/>
      </w:pPr>
      <w:r>
        <w:t>Where the quarter landed</w:t>
      </w:r>
    </w:p>
    <w:p>
      <w:r>
        <w:t>ARR closed the quarter at $48.9M, up 6.1% sequentially and 34% year over year. Net new ARR of $2.8M was the strongest quarter on record, carried by expansion in Warehouse Connect and the alerts add-on.</w:t>
      </w:r>
    </w:p>
    <w:p>
      <w:r>
        <w:t>Net revenue retention held at 114% overall: 122% in the greater-than-$25k cohort and 96% in SMB. Gross margin improved to 81% after the hosting renegotiation closed in July.</w:t>
      </w:r>
    </w:p>
    <w:p>
      <w:r>
        <w:t>Weighted Q4 pipeline of $8.9M covers the new-ARR plan 3.1 times, above the 3.0 times the board set as the floor. Two verbals worth $610k slipped into the first week of Q4.</w:t>
      </w:r>
    </w:p>
    <w:p>
      <w:pPr>
        <w:pStyle w:val="Heading2"/>
      </w:pPr>
      <w:r>
        <w:t>Workstream status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072"/>
        <w:gridCol w:w="3072"/>
        <w:gridCol w:w="3072"/>
      </w:tblGrid>
      <w:tr>
        <w:tc>
          <w:tcPr>
            <w:tcW w:type="dxa" w:w="4176"/>
            <w:shd w:val="clear" w:color="auto" w:fill="1F4E79"/>
          </w:tcPr>
          <w:p>
            <w:pPr>
              <w:spacing w:after="40" w:before="40"/>
            </w:pPr>
            <w:r>
              <w:rPr>
                <w:rFonts w:ascii="Calibri" w:hAnsi="Calibri"/>
                <w:b/>
                <w:color w:val="FFFFFF"/>
                <w:sz w:val="20"/>
              </w:rPr>
              <w:t>Workstream</w:t>
            </w:r>
          </w:p>
        </w:tc>
        <w:tc>
          <w:tcPr>
            <w:tcW w:type="dxa" w:w="2304"/>
            <w:shd w:val="clear" w:color="auto" w:fill="1F4E79"/>
          </w:tcPr>
          <w:p>
            <w:pPr>
              <w:spacing w:after="40" w:before="40"/>
            </w:pPr>
            <w:r>
              <w:rPr>
                <w:rFonts w:ascii="Calibri" w:hAnsi="Calibri"/>
                <w:b/>
                <w:color w:val="FFFFFF"/>
                <w:sz w:val="20"/>
              </w:rPr>
              <w:t>Owner</w:t>
            </w:r>
          </w:p>
        </w:tc>
        <w:tc>
          <w:tcPr>
            <w:tcW w:type="dxa" w:w="2736"/>
            <w:shd w:val="clear" w:color="auto" w:fill="1F4E79"/>
          </w:tcPr>
          <w:p>
            <w:pPr>
              <w:spacing w:after="40" w:before="40"/>
            </w:pPr>
            <w:r>
              <w:rPr>
                <w:rFonts w:ascii="Calibri" w:hAnsi="Calibri"/>
                <w:b/>
                <w:color w:val="FFFFFF"/>
                <w:sz w:val="20"/>
              </w:rPr>
              <w:t>Status</w:t>
            </w:r>
          </w:p>
        </w:tc>
      </w:tr>
      <w:tr>
        <w:tc>
          <w:tcPr>
            <w:tcW w:type="dxa" w:w="4176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sz w:val="20"/>
              </w:rPr>
              <w:t>Commission plan and Q4 rate</w:t>
            </w:r>
          </w:p>
        </w:tc>
        <w:tc>
          <w:tcPr>
            <w:tcW w:type="dxa" w:w="2304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sz w:val="20"/>
              </w:rPr>
              <w:t>Finance</w:t>
            </w:r>
          </w:p>
        </w:tc>
        <w:tc>
          <w:tcPr>
            <w:tcW w:type="dxa" w:w="2736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sz w:val="20"/>
              </w:rPr>
              <w:t>Awaiting board confirmation</w:t>
            </w:r>
          </w:p>
        </w:tc>
      </w:tr>
      <w:tr>
        <w:tc>
          <w:tcPr>
            <w:tcW w:type="dxa" w:w="4176"/>
            <w:shd w:val="clear" w:color="auto" w:fill="EFF2F6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sz w:val="20"/>
              </w:rPr>
              <w:t>SMB packaging and pricing test</w:t>
            </w:r>
          </w:p>
        </w:tc>
        <w:tc>
          <w:tcPr>
            <w:tcW w:type="dxa" w:w="2304"/>
            <w:shd w:val="clear" w:color="auto" w:fill="EFF2F6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sz w:val="20"/>
              </w:rPr>
              <w:t>Product</w:t>
            </w:r>
          </w:p>
        </w:tc>
        <w:tc>
          <w:tcPr>
            <w:tcW w:type="dxa" w:w="2736"/>
            <w:shd w:val="clear" w:color="auto" w:fill="EFF2F6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sz w:val="20"/>
              </w:rPr>
              <w:t>Starts week three of Q4</w:t>
            </w:r>
          </w:p>
        </w:tc>
      </w:tr>
      <w:tr>
        <w:tc>
          <w:tcPr>
            <w:tcW w:type="dxa" w:w="4176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sz w:val="20"/>
              </w:rPr>
              <w:t>Partner enablement programme</w:t>
            </w:r>
          </w:p>
        </w:tc>
        <w:tc>
          <w:tcPr>
            <w:tcW w:type="dxa" w:w="2304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sz w:val="20"/>
              </w:rPr>
              <w:t>GTM</w:t>
            </w:r>
          </w:p>
        </w:tc>
        <w:tc>
          <w:tcPr>
            <w:tcW w:type="dxa" w:w="2736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sz w:val="20"/>
              </w:rPr>
              <w:t>In progress</w:t>
            </w:r>
          </w:p>
        </w:tc>
      </w:tr>
      <w:tr>
        <w:tc>
          <w:tcPr>
            <w:tcW w:type="dxa" w:w="4176"/>
            <w:shd w:val="clear" w:color="auto" w:fill="EFF2F6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sz w:val="20"/>
              </w:rPr>
              <w:t>Security review cycle time</w:t>
            </w:r>
          </w:p>
        </w:tc>
        <w:tc>
          <w:tcPr>
            <w:tcW w:type="dxa" w:w="2304"/>
            <w:shd w:val="clear" w:color="auto" w:fill="EFF2F6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sz w:val="20"/>
              </w:rPr>
              <w:t>Engineering</w:t>
            </w:r>
          </w:p>
        </w:tc>
        <w:tc>
          <w:tcPr>
            <w:tcW w:type="dxa" w:w="2736"/>
            <w:shd w:val="clear" w:color="auto" w:fill="EFF2F6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sz w:val="20"/>
              </w:rPr>
              <w:t>At risk - 19 day median</w:t>
            </w:r>
          </w:p>
        </w:tc>
      </w:tr>
      <w:tr>
        <w:tc>
          <w:tcPr>
            <w:tcW w:type="dxa" w:w="4176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sz w:val="20"/>
              </w:rPr>
              <w:t>Multi-region failover</w:t>
            </w:r>
          </w:p>
        </w:tc>
        <w:tc>
          <w:tcPr>
            <w:tcW w:type="dxa" w:w="2304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sz w:val="20"/>
              </w:rPr>
              <w:t>Platform</w:t>
            </w:r>
          </w:p>
        </w:tc>
        <w:tc>
          <w:tcPr>
            <w:tcW w:type="dxa" w:w="2736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sz w:val="20"/>
              </w:rPr>
              <w:t>Scoped for Q1 FY2027</w:t>
            </w:r>
          </w:p>
        </w:tc>
      </w:tr>
    </w:tbl>
    <w:p>
      <w:pPr>
        <w:pStyle w:val="Heading2"/>
      </w:pPr>
      <w:r>
        <w:t>Asks for the board</w:t>
      </w:r>
    </w:p>
    <w:p>
      <w:r>
        <w:t>Confirm the Q3 commission rate and set the Q4 rate so Finance can lock the plan; approve two incremental security engineers funded from the hiring underrun; and approve moving Q4 demand-generation spend into partner enablement.</w:t>
      </w:r>
    </w:p>
    <w:p>
      <w:pPr>
        <w:pStyle w:val="Heading2"/>
      </w:pPr>
      <w:r>
        <w:t>Appendix: prior year channel mix - do not copy into Q3</w:t>
      </w:r>
    </w:p>
    <w:p>
      <w:r>
        <w:rPr>
          <w:i/>
          <w:color w:val="595959"/>
          <w:sz w:val="18"/>
        </w:rPr>
        <w:t>The lines below are FY2024 context, repeated per channel for the audit file. They are historical and must not be restated into Q3 reporting.</w:t>
      </w:r>
    </w:p>
    <w:p>
      <w:pPr>
        <w:spacing w:after="40"/>
      </w:pPr>
      <w:r>
        <w:rPr>
          <w:color w:val="595959"/>
          <w:sz w:val="19"/>
        </w:rPr>
        <w:t>Prior year channel mix stayed at 10%.</w:t>
      </w:r>
    </w:p>
    <w:p>
      <w:pPr>
        <w:spacing w:after="40"/>
      </w:pPr>
      <w:r>
        <w:rPr>
          <w:color w:val="595959"/>
          <w:sz w:val="19"/>
        </w:rPr>
        <w:t>Prior year channel mix stayed at 10%.</w:t>
      </w:r>
    </w:p>
    <w:p>
      <w:pPr>
        <w:spacing w:after="40"/>
      </w:pPr>
      <w:r>
        <w:rPr>
          <w:color w:val="595959"/>
          <w:sz w:val="19"/>
        </w:rPr>
        <w:t>Prior year channel mix stayed at 10%.</w:t>
      </w:r>
    </w:p>
    <w:p>
      <w:pPr>
        <w:spacing w:after="40"/>
      </w:pPr>
      <w:r>
        <w:rPr>
          <w:color w:val="595959"/>
          <w:sz w:val="19"/>
        </w:rPr>
        <w:t>Prior year channel mix stayed at 10%.</w:t>
      </w:r>
    </w:p>
    <w:p>
      <w:pPr>
        <w:spacing w:after="40"/>
      </w:pPr>
      <w:r>
        <w:rPr>
          <w:color w:val="595959"/>
          <w:sz w:val="19"/>
        </w:rPr>
        <w:t>Prior year channel mix stayed at 10%.</w:t>
      </w:r>
    </w:p>
    <w:p>
      <w:pPr>
        <w:spacing w:after="40"/>
      </w:pPr>
      <w:r>
        <w:rPr>
          <w:color w:val="595959"/>
          <w:sz w:val="19"/>
        </w:rPr>
        <w:t>Prior year channel mix stayed at 10%.</w:t>
      </w:r>
    </w:p>
    <w:p>
      <w:pPr>
        <w:spacing w:after="40"/>
      </w:pPr>
      <w:r>
        <w:rPr>
          <w:color w:val="595959"/>
          <w:sz w:val="19"/>
        </w:rPr>
        <w:t>Prior year channel mix stayed at 10%.</w:t>
      </w:r>
    </w:p>
    <w:p>
      <w:pPr>
        <w:spacing w:after="40"/>
      </w:pPr>
      <w:r>
        <w:rPr>
          <w:color w:val="595959"/>
          <w:sz w:val="19"/>
        </w:rPr>
        <w:t>Prior year channel mix stayed at 10%.</w:t>
      </w:r>
    </w:p>
    <w:p>
      <w:pPr>
        <w:spacing w:after="40"/>
      </w:pPr>
      <w:r>
        <w:rPr>
          <w:color w:val="595959"/>
          <w:sz w:val="19"/>
        </w:rPr>
        <w:t>Prior year channel mix stayed at 10%.</w:t>
      </w:r>
    </w:p>
    <w:p>
      <w:pPr>
        <w:spacing w:after="40"/>
      </w:pPr>
      <w:r>
        <w:rPr>
          <w:color w:val="595959"/>
          <w:sz w:val="19"/>
        </w:rPr>
        <w:t>Prior year channel mix stayed at 10%.</w:t>
      </w:r>
    </w:p>
    <w:p>
      <w:pPr>
        <w:spacing w:after="40"/>
      </w:pPr>
      <w:r>
        <w:rPr>
          <w:color w:val="595959"/>
          <w:sz w:val="19"/>
        </w:rPr>
        <w:t>Prior year channel mix stayed at 10%.</w:t>
      </w:r>
    </w:p>
    <w:p>
      <w:pPr>
        <w:spacing w:after="40"/>
      </w:pPr>
      <w:r>
        <w:rPr>
          <w:color w:val="595959"/>
          <w:sz w:val="19"/>
        </w:rPr>
        <w:t>Prior year channel mix stayed at 10%.</w:t>
      </w:r>
    </w:p>
    <w:p>
      <w:pPr>
        <w:spacing w:after="40"/>
      </w:pPr>
      <w:r>
        <w:rPr>
          <w:color w:val="595959"/>
          <w:sz w:val="19"/>
        </w:rPr>
        <w:t>Prior year channel mix stayed at 10%.</w:t>
      </w:r>
    </w:p>
    <w:p>
      <w:pPr>
        <w:spacing w:after="40"/>
      </w:pPr>
      <w:r>
        <w:rPr>
          <w:color w:val="595959"/>
          <w:sz w:val="19"/>
        </w:rPr>
        <w:t>Prior year channel mix stayed at 10%.</w:t>
      </w:r>
    </w:p>
    <w:p>
      <w:pPr>
        <w:spacing w:after="40"/>
      </w:pPr>
      <w:r>
        <w:rPr>
          <w:color w:val="595959"/>
          <w:sz w:val="19"/>
        </w:rPr>
        <w:t>Prior year channel mix stayed at 10%.</w:t>
      </w:r>
    </w:p>
    <w:p>
      <w:pPr>
        <w:spacing w:after="40"/>
      </w:pPr>
      <w:r>
        <w:rPr>
          <w:color w:val="595959"/>
          <w:sz w:val="19"/>
        </w:rPr>
        <w:t>Prior year channel mix stayed at 10%.</w:t>
      </w:r>
    </w:p>
    <w:p>
      <w:pPr>
        <w:spacing w:after="40"/>
      </w:pPr>
      <w:r>
        <w:rPr>
          <w:color w:val="595959"/>
          <w:sz w:val="19"/>
        </w:rPr>
        <w:t>Prior year channel mix stayed at 10%.</w:t>
      </w:r>
    </w:p>
    <w:p>
      <w:pPr>
        <w:spacing w:after="40"/>
      </w:pPr>
      <w:r>
        <w:rPr>
          <w:color w:val="595959"/>
          <w:sz w:val="19"/>
        </w:rPr>
        <w:t>Prior year channel mix stayed at 10%.</w:t>
      </w:r>
    </w:p>
    <w:p>
      <w:pPr>
        <w:spacing w:after="40"/>
      </w:pPr>
      <w:r>
        <w:rPr>
          <w:color w:val="595959"/>
          <w:sz w:val="19"/>
        </w:rPr>
        <w:t>Prior year channel mix stayed at 10%.</w:t>
      </w:r>
    </w:p>
    <w:p>
      <w:pPr>
        <w:spacing w:after="40"/>
      </w:pPr>
      <w:r>
        <w:rPr>
          <w:color w:val="595959"/>
          <w:sz w:val="19"/>
        </w:rPr>
        <w:t>Prior year channel mix stayed at 10%.</w:t>
      </w:r>
    </w:p>
    <w:p>
      <w:pPr>
        <w:spacing w:after="40"/>
      </w:pPr>
      <w:r>
        <w:rPr>
          <w:color w:val="595959"/>
          <w:sz w:val="19"/>
        </w:rPr>
        <w:t>Prior year channel mix stayed at 10%.</w:t>
      </w:r>
    </w:p>
    <w:p>
      <w:pPr>
        <w:spacing w:after="40"/>
      </w:pPr>
      <w:r>
        <w:rPr>
          <w:color w:val="595959"/>
          <w:sz w:val="19"/>
        </w:rPr>
        <w:t>Prior year channel mix stayed at 10%.</w:t>
      </w:r>
    </w:p>
    <w:p>
      <w:pPr>
        <w:spacing w:after="40"/>
      </w:pPr>
      <w:r>
        <w:rPr>
          <w:color w:val="595959"/>
          <w:sz w:val="19"/>
        </w:rPr>
        <w:t>Prior year channel mix stayed at 10%.</w:t>
      </w:r>
    </w:p>
    <w:p>
      <w:pPr>
        <w:spacing w:after="40"/>
      </w:pPr>
      <w:r>
        <w:rPr>
          <w:color w:val="595959"/>
          <w:sz w:val="19"/>
        </w:rPr>
        <w:t>Prior year channel mix stayed at 10%.</w:t>
      </w:r>
    </w:p>
    <w:p>
      <w:pPr>
        <w:pStyle w:val="Heading2"/>
      </w:pPr>
      <w:r>
        <w:t>Live Q3 figure</w:t>
      </w:r>
    </w:p>
    <w:p>
      <w:r>
        <w:rPr>
          <w:i/>
          <w:color w:val="595959"/>
          <w:sz w:val="18"/>
        </w:rPr>
        <w:t>The single live commission line follows. It is quoted from the workbook named range Rate (Inputs!B2); the appendix lines above stay untouched.</w:t>
      </w:r>
    </w:p>
    <w:p>
      <w:pPr>
        <w:spacing w:before="80"/>
        <w:pBdr>
          <w:bottom w:val="single" w:sz="6" w:space="3" w:color="D6DCE4"/>
        </w:pBdr>
      </w:pPr>
      <w:r>
        <w:rPr>
          <w:b/>
          <w:color w:val="1F4E79"/>
          <w:sz w:val="23"/>
        </w:rPr>
        <w:t>Q3 commission rate: 10%.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296" w:right="1512" w:bottom="1296" w:left="151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216" w:val="right"/>
      </w:tabs>
      <w:pBdr>
        <w:bottom w:val="single" w:sz="6" w:space="3" w:color="D6DCE4"/>
      </w:pBdr>
    </w:pPr>
    <w:r/>
    <w:r>
      <w:rPr>
        <w:rFonts w:ascii="Calibri" w:hAnsi="Calibri"/>
        <w:color w:val="595959"/>
        <w:sz w:val="16"/>
      </w:rPr>
      <w:t>Northstar Analytics Q3 - board memo - 17 August 2026</w:t>
    </w:r>
    <w:r>
      <w:rPr>
        <w:color w:val="595959"/>
        <w:sz w:val="16"/>
      </w:rPr>
      <w:tab/>
      <w:t xml:space="preserve">Page </w:t>
    </w:r>
    <w:r>
      <w:rPr>
        <w:color w:val="595959"/>
        <w:sz w:val="16"/>
      </w:rPr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80"/>
      <w:pBdr>
        <w:bottom w:val="single" w:sz="6" w:space="3" w:color="D6DCE4"/>
      </w:pBdr>
    </w:pPr>
    <w:r/>
    <w:r>
      <w:rPr>
        <w:rFonts w:ascii="Calibri" w:hAnsi="Calibri"/>
        <w:b/>
        <w:color w:val="1F4E79"/>
        <w:sz w:val="17"/>
      </w:rPr>
      <w:t>CONFIDENTIAL - Northstar Analytics Q3 board pack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74" w:lineRule="auto"/>
    </w:pPr>
    <w:rPr>
      <w:rFonts w:ascii="Calibri" w:hAnsi="Calibri"/>
      <w:color w:val="262626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120"/>
      <w:outlineLvl w:val="0"/>
    </w:pPr>
    <w:rPr>
      <w:rFonts w:asciiTheme="majorHAnsi" w:eastAsiaTheme="majorEastAsia" w:hAnsiTheme="majorHAnsi" w:cstheme="majorBidi" w:ascii="Calibri Light" w:hAnsi="Calibri Light"/>
      <w:b w:val="0"/>
      <w:bCs/>
      <w:color w:val="1F4E79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20"/>
      <w:outlineLvl w:val="1"/>
    </w:pPr>
    <w:rPr>
      <w:rFonts w:asciiTheme="majorHAnsi" w:eastAsiaTheme="majorEastAsia" w:hAnsiTheme="majorHAnsi" w:cstheme="majorBidi" w:ascii="Calibri Light" w:hAnsi="Calibri Light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Northstar Analytics - FY2026 Q3 Board Memo</dc:title>
  <dc:subject>Q3 operating results and commission rate</dc:subject>
  <dc:creator>Priya Shah, VP Finance</dc:creator>
  <cp:keywords>Northstar Analytics; FY2026; Q3; confidential</cp:keywords>
  <dc:description>Confidential. Figures are quoted from the Q3 workbook.</dc:description>
  <cp:lastModifiedBy>Priya Shah, VP Finance</cp:lastModifiedBy>
  <cp:revision>1</cp:revision>
  <dcterms:created xsi:type="dcterms:W3CDTF">2013-12-23T23:15:00Z</dcterms:created>
  <dcterms:modified xsi:type="dcterms:W3CDTF">2013-12-23T23:15:00Z</dcterms:modified>
  <cp:category>Board reporting</cp:category>
</cp:coreProperties>
</file>