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3108960" cy="1038012"/>
            <wp:docPr id="1" name="Picture 1" descr="Mupo Training Center logo"/>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108960" cy="1038012"/>
                    </a:xfrm>
                    <a:prstGeom prst="rect"/>
                  </pic:spPr>
                </pic:pic>
              </a:graphicData>
            </a:graphic>
          </wp:inline>
        </w:drawing>
      </w:r>
    </w:p>
    <w:p>
      <w:pPr>
        <w:jc w:val="center"/>
      </w:pPr>
      <w:r>
        <w:drawing>
          <wp:inline xmlns:a="http://schemas.openxmlformats.org/drawingml/2006/main" xmlns:pic="http://schemas.openxmlformats.org/drawingml/2006/picture">
            <wp:extent cx="914400" cy="652352"/>
            <wp:docPr id="2" name="Picture 2" descr="Mupo Security Training shield logo"/>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914400" cy="652352"/>
                    </a:xfrm>
                    <a:prstGeom prst="rect"/>
                  </pic:spPr>
                </pic:pic>
              </a:graphicData>
            </a:graphic>
          </wp:inline>
        </w:drawing>
      </w:r>
    </w:p>
    <w:p>
      <w:pPr>
        <w:spacing w:before="240" w:after="360"/>
        <w:jc w:val="center"/>
      </w:pPr>
      <w:r>
        <w:rPr>
          <w:rFonts w:ascii="Arial" w:hAnsi="Arial"/>
          <w:b/>
          <w:color w:val="F41F28"/>
          <w:sz w:val="23"/>
        </w:rPr>
        <w:t>NATIONAL KEY POINT SECURITY TRAINING</w:t>
      </w:r>
    </w:p>
    <w:p>
      <w:pPr>
        <w:pStyle w:val="Title"/>
        <w:jc w:val="center"/>
      </w:pPr>
      <w:r>
        <w:t>INSTRUCTOR AND ASSESSOR GUIDE</w:t>
      </w:r>
    </w:p>
    <w:p>
      <w:pPr>
        <w:pStyle w:val="Subtitle"/>
        <w:jc w:val="center"/>
      </w:pPr>
      <w:r>
        <w:t>Blended delivery, practical facilitation and assessment administration</w:t>
      </w:r>
    </w:p>
    <w:p>
      <w:pPr>
        <w:spacing w:before="280" w:after="360"/>
        <w:jc w:val="center"/>
        <w:shd w:fill="141E46"/>
        <w:pBdr>
          <w:left w:val="single" w:sz="18" w:space="8" w:color="141E46"/>
        </w:pBdr>
      </w:pPr>
      <w:r>
        <w:rPr>
          <w:rFonts w:ascii="Arial" w:hAnsi="Arial"/>
          <w:b/>
          <w:color w:val="FFFFFF"/>
          <w:sz w:val="21"/>
        </w:rPr>
        <w:t>SAQA UNIT STANDARD 246693  |  NQF LEVEL 4  |  4 CREDITS</w:t>
      </w:r>
    </w:p>
    <w:p>
      <w:pPr>
        <w:spacing w:after="80"/>
        <w:jc w:val="center"/>
      </w:pPr>
      <w:r>
        <w:rPr>
          <w:rFonts w:ascii="Arial" w:hAnsi="Arial"/>
          <w:b/>
          <w:color w:val="5E6980"/>
          <w:sz w:val="18"/>
        </w:rPr>
        <w:t>Document code: MTC-NKP-IG-01  |  Version 1.0  |  19 August 2026</w:t>
      </w:r>
    </w:p>
    <w:p>
      <w:pPr>
        <w:spacing w:after="80"/>
        <w:jc w:val="center"/>
      </w:pPr>
      <w:r>
        <w:rPr>
          <w:rFonts w:ascii="Arial" w:hAnsi="Arial"/>
          <w:b w:val="0"/>
          <w:color w:val="5E6980"/>
          <w:sz w:val="18"/>
        </w:rPr>
        <w:t>Aligned to NKP Learner Guide - Advanced Blended Edition 4.1</w:t>
      </w:r>
    </w:p>
    <w:p>
      <w:pPr>
        <w:spacing w:after="80"/>
        <w:jc w:val="center"/>
      </w:pPr>
      <w:r>
        <w:rPr>
          <w:rFonts w:ascii="Arial" w:hAnsi="Arial"/>
          <w:b/>
          <w:color w:val="5E6980"/>
          <w:sz w:val="18"/>
        </w:rPr>
        <w:t>Facilitator, assessor and moderator working guide</w:t>
      </w:r>
    </w:p>
    <w:p>
      <w:pPr>
        <w:spacing w:after="80"/>
        <w:jc w:val="center"/>
      </w:pPr>
      <w:r>
        <w:rPr>
          <w:rFonts w:ascii="Arial" w:hAnsi="Arial"/>
          <w:b w:val="0"/>
          <w:color w:val="5E6980"/>
          <w:sz w:val="18"/>
        </w:rPr>
        <w:t>377 Johannes Ramakhoase Street, Office 0005, Jardown 1</w:t>
      </w:r>
    </w:p>
    <w:p>
      <w:pPr>
        <w:spacing w:after="80"/>
        <w:jc w:val="center"/>
      </w:pPr>
      <w:r>
        <w:rPr>
          <w:rFonts w:ascii="Arial" w:hAnsi="Arial"/>
          <w:b w:val="0"/>
          <w:color w:val="5E6980"/>
          <w:sz w:val="18"/>
        </w:rPr>
        <w:t>+27 12 004 2004  |  WhatsApp +27 84 750 7013</w:t>
      </w:r>
    </w:p>
    <w:p>
      <w:pPr>
        <w:spacing w:after="80"/>
        <w:jc w:val="center"/>
      </w:pPr>
      <w:r>
        <w:rPr>
          <w:rFonts w:ascii="Arial" w:hAnsi="Arial"/>
          <w:b w:val="0"/>
          <w:color w:val="5E6980"/>
          <w:sz w:val="18"/>
        </w:rPr>
        <w:t>admin@mupotrainingcenter.co.za  |  www.mupotrainingcenter.co.za</w:t>
      </w:r>
    </w:p>
    <w:p>
      <w:r>
        <w:br w:type="page"/>
      </w:r>
    </w:p>
    <w:p>
      <w:pPr>
        <w:pStyle w:val="Heading1"/>
      </w:pPr>
      <w:r>
        <w:t>Purpose and controlled use</w:t>
      </w:r>
    </w:p>
    <w:p>
      <w:pPr>
        <w:spacing w:before="80" w:after="160"/>
        <w:shd w:fill="EDF2F7"/>
        <w:pBdr>
          <w:left w:val="single" w:sz="18" w:space="8" w:color="F41F28"/>
        </w:pBdr>
      </w:pPr>
      <w:r>
        <w:rPr>
          <w:rFonts w:ascii="Arial" w:hAnsi="Arial"/>
          <w:b/>
          <w:color w:val="F41F28"/>
          <w:sz w:val="21"/>
        </w:rPr>
        <w:t xml:space="preserve">Purpose: </w:t>
      </w:r>
      <w:r>
        <w:rPr>
          <w:rFonts w:ascii="Arial" w:hAnsi="Arial"/>
          <w:color w:val="272D3A"/>
          <w:sz w:val="21"/>
        </w:rPr>
        <w:t>This guide supports delivery of the learner manual, practical scenarios, skill stations and written examination. It does not replace the provider's approved programme, assessment plan, legal review, site security plan or assessor/moderator requirements.</w:t>
      </w:r>
    </w:p>
    <w:tbl>
      <w:tblPr>
        <w:tblW w:type="dxa" w:w="9360"/>
        <w:tblLook w:firstColumn="1" w:firstRow="1" w:lastColumn="0" w:lastRow="0" w:noHBand="0" w:noVBand="1" w:val="04A0"/>
        <w:tblInd w:w="120" w:type="dxa"/>
        <w:tblLayout w:type="fixed"/>
        <w:tblBorders>
          <w:top w:val="single" w:sz="6" w:color="D4DAE3"/>
          <w:left w:val="single" w:sz="6" w:color="D4DAE3"/>
          <w:bottom w:val="single" w:sz="6" w:color="D4DAE3"/>
          <w:right w:val="single" w:sz="6" w:color="D4DAE3"/>
          <w:insideH w:val="single" w:sz="6" w:color="D4DAE3"/>
          <w:insideV w:val="single" w:sz="6" w:color="D4DAE3"/>
        </w:tblBorders>
      </w:tblPr>
      <w:tblGrid>
        <w:gridCol w:w="2500"/>
        <w:gridCol w:w="6860"/>
      </w:tblGrid>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Primary learner resource</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NKP Learner Guide - Advanced Blended Edition 4.1</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Written assessment</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MTC-NKP-EX-01, Version 1.0</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Memorandum</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MTC-NKP-MEM-01, Version 1.0</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Intended users</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Approved instructors, facilitators, assessors and moderators</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Delivery modes</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Classroom, virtual, blended and controlled workplace practice</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Review date</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Before every offering and whenever law, designation, provider scope or site procedure changes</w:t>
            </w:r>
          </w:p>
        </w:tc>
      </w:tr>
    </w:tbl>
    <w:p>
      <w:pPr>
        <w:spacing w:after="20"/>
      </w:pPr>
    </w:p>
    <w:p>
      <w:pPr>
        <w:pStyle w:val="Heading2"/>
      </w:pPr>
      <w:r>
        <w:t>Four specific outcomes</w:t>
      </w:r>
    </w:p>
    <w:p>
      <w:pPr>
        <w:keepLines/>
        <w:numPr>
          <w:ilvl w:val="0"/>
          <w:numId w:val="10"/>
        </w:numPr>
      </w:pPr>
      <w:r>
        <w:t>Explain the functions of the Minister and the owner or person responsible for a National Key Point.</w:t>
      </w:r>
    </w:p>
    <w:p>
      <w:pPr>
        <w:keepLines/>
        <w:numPr>
          <w:ilvl w:val="0"/>
          <w:numId w:val="10"/>
        </w:numPr>
      </w:pPr>
      <w:r>
        <w:t>Explain recruitment, selection, appointment and training requirements for National Key Point security personnel.</w:t>
      </w:r>
    </w:p>
    <w:p>
      <w:pPr>
        <w:keepLines/>
        <w:numPr>
          <w:ilvl w:val="0"/>
          <w:numId w:val="10"/>
        </w:numPr>
      </w:pPr>
      <w:r>
        <w:t>Explain how security-officer responsibilities, powers and limitations are applied lawfully at a National Key Point.</w:t>
      </w:r>
    </w:p>
    <w:p>
      <w:pPr>
        <w:keepLines/>
        <w:numPr>
          <w:ilvl w:val="0"/>
          <w:numId w:val="10"/>
        </w:numPr>
      </w:pPr>
      <w:r>
        <w:t>Identify prohibited acts, misconduct and offences relevant to a National Key Point.</w:t>
      </w:r>
    </w:p>
    <w:p>
      <w:pPr>
        <w:spacing w:before="80" w:after="160"/>
        <w:shd w:fill="FDECEE"/>
        <w:pBdr>
          <w:left w:val="single" w:sz="18" w:space="8" w:color="F41F28"/>
        </w:pBdr>
      </w:pPr>
      <w:r>
        <w:rPr>
          <w:rFonts w:ascii="Arial" w:hAnsi="Arial"/>
          <w:b/>
          <w:color w:val="F41F28"/>
          <w:sz w:val="21"/>
        </w:rPr>
        <w:t xml:space="preserve">Information-security rule: </w:t>
      </w:r>
      <w:r>
        <w:rPr>
          <w:rFonts w:ascii="Arial" w:hAnsi="Arial"/>
          <w:color w:val="272D3A"/>
          <w:sz w:val="21"/>
        </w:rPr>
        <w:t>Use fictional examples only. Never display or ask learners to submit real protected-site layouts, codes, vulnerabilities, patrol patterns, response times, incident images, occurrence-book pages or personal screening records.</w:t>
      </w:r>
    </w:p>
    <w:p>
      <w:r>
        <w:br w:type="page"/>
      </w:r>
    </w:p>
    <w:p>
      <w:pPr>
        <w:pStyle w:val="Heading1"/>
      </w:pPr>
      <w:r>
        <w:t>Pre-delivery legal, quality and readiness gate</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1650"/>
        <w:gridCol w:w="5050"/>
        <w:gridCol w:w="2660"/>
      </w:tblGrid>
      <w:tr>
        <w:trPr>
          <w:tblHeader w:val="true"/>
        </w:trPr>
        <w:tc>
          <w:tcPr>
            <w:tcW w:type="dxa" w:w="165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Control</w:t>
            </w:r>
          </w:p>
        </w:tc>
        <w:tc>
          <w:tcPr>
            <w:tcW w:type="dxa" w:w="505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Instructor / provider check</w:t>
            </w:r>
          </w:p>
        </w:tc>
        <w:tc>
          <w:tcPr>
            <w:tcW w:type="dxa" w:w="26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Evidence or owner</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Provider scope</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Confirm programme approval, enrolment route and applicable quality-assurance arrangements.</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Provider compliance file</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Unit-standard status</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Check the current official SAQA record and any transition requirements before enrolment and assessment.</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Dated source-check record</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Legislation</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Confirm commenced provisions, site designation and current official regulations/directions. Treat draft material as draft.</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Legal/SME approval</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Site instruments</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Confirm the current approved security plan, post orders, delegations and emergency procedures used for workplace practice.</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Document-control register</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Personnel</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Confirm facilitator competence and assessor/moderator registration or authorisation required by the provider.</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Appointment records</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Assessment</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Approve the paper, memorandum, threshold, critical criteria, accommodations, evidence plan and reassessment route.</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Assessment-plan approval</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Privacy/security</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Prepare fictional datasets and approved online channels; remove real operational or personal information.</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Information-handling checklist</w:t>
            </w:r>
          </w:p>
        </w:tc>
      </w:tr>
      <w:tr>
        <w:tc>
          <w:tcPr>
            <w:tcW w:type="dxa" w:w="16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Accessibility</w:t>
            </w:r>
          </w:p>
        </w:tc>
        <w:tc>
          <w:tcPr>
            <w:tcW w:type="dxa" w:w="5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Identify language, disability, digital-access and reasonable-accommodation needs before delivery.</w:t>
            </w:r>
          </w:p>
        </w:tc>
        <w:tc>
          <w:tcPr>
            <w:tcW w:type="dxa" w:w="26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Learner support plan</w:t>
            </w:r>
          </w:p>
        </w:tc>
      </w:tr>
    </w:tbl>
    <w:p>
      <w:pPr>
        <w:spacing w:after="20"/>
      </w:pPr>
    </w:p>
    <w:p>
      <w:pPr>
        <w:spacing w:before="80" w:after="160"/>
        <w:shd w:fill="FFF7E5"/>
        <w:pBdr>
          <w:left w:val="single" w:sz="18" w:space="8" w:color="F41F28"/>
        </w:pBdr>
      </w:pPr>
      <w:r>
        <w:rPr>
          <w:rFonts w:ascii="Arial" w:hAnsi="Arial"/>
          <w:b/>
          <w:color w:val="F41F28"/>
          <w:sz w:val="21"/>
        </w:rPr>
        <w:t xml:space="preserve">Stop condition: </w:t>
      </w:r>
      <w:r>
        <w:rPr>
          <w:rFonts w:ascii="Arial" w:hAnsi="Arial"/>
          <w:color w:val="272D3A"/>
          <w:sz w:val="21"/>
        </w:rPr>
        <w:t>Do not present disputed legal wording or an unverified site instruction as settled operational authority. Pause, label the issue and obtain an authorised interpretation.</w:t>
      </w:r>
    </w:p>
    <w:p>
      <w:r>
        <w:br w:type="page"/>
      </w:r>
    </w:p>
    <w:p>
      <w:pPr>
        <w:pStyle w:val="Heading1"/>
      </w:pPr>
      <w:r>
        <w:t>Recommended blended pathway</w:t>
      </w:r>
    </w:p>
    <w:p>
      <w:pPr>
        <w:keepNext/>
      </w:pPr>
      <w:r>
        <w:t>The following sequence is an adaptable delivery map, not a fixed official timetable. Adjust contact, online and workplace hours to the provider-approved programme and learner needs.</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900"/>
        <w:gridCol w:w="2050"/>
        <w:gridCol w:w="4310"/>
        <w:gridCol w:w="2100"/>
      </w:tblGrid>
      <w:tr>
        <w:trPr>
          <w:tblHeader w:val="true"/>
        </w:trPr>
        <w:tc>
          <w:tcPr>
            <w:tcW w:type="dxa" w:w="9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Stage</w:t>
            </w:r>
          </w:p>
        </w:tc>
        <w:tc>
          <w:tcPr>
            <w:tcW w:type="dxa" w:w="205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Focus</w:t>
            </w:r>
          </w:p>
        </w:tc>
        <w:tc>
          <w:tcPr>
            <w:tcW w:type="dxa" w:w="431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Suggested learning activity</w:t>
            </w:r>
          </w:p>
        </w:tc>
        <w:tc>
          <w:tcPr>
            <w:tcW w:type="dxa" w:w="21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Evidence</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1</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Orientation and source hierarchy</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Baseline diagnostic; legal-status labels; information-security agreement</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Diagnostic and acknowledgement</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2</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Outcome 1: governance</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Owner/Minister role map; instruction-verification exercise</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Governance scenario response</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3</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Outcome 2: recruitment and competence</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Selection case study; provisional-deployment decision; refresher plan</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Controlled appointment decision</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4</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Outcome 3: access and communication</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Access-control role-play; occurrence-book entry; radio report</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Observation and corrected record</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5</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Outcome 3: search, arrest, force and evidence</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Consent decision; evidence handover; authority-limits discussion</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Scenario response and record</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6</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Outcome 4: misconduct and information</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Classification exercise; protected-disclosure test; fair-process discussion</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Confidential report and rationale</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7</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Advanced scenario rotation</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Drone, weather, social engineering, de-escalation and handover scenarios</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Role-play and reflection evidence</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8</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Skill stations</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Readiness, access conversation, radio, incident report and evidence handover</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Practical observation records</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9</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Integration and correction</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First attempt; feedback; corrected submission; transfer to a new case</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Two versions plus feedback</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10</w:t>
            </w:r>
          </w:p>
        </w:tc>
        <w:tc>
          <w:tcPr>
            <w:tcW w:type="dxa" w:w="2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Controlled assessment</w:t>
            </w:r>
          </w:p>
        </w:tc>
        <w:tc>
          <w:tcPr>
            <w:tcW w:type="dxa" w:w="431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Written examination and approved practical assessment</w:t>
            </w:r>
          </w:p>
        </w:tc>
        <w:tc>
          <w:tcPr>
            <w:tcW w:type="dxa" w:w="2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Exam, practical and decision records</w:t>
            </w:r>
          </w:p>
        </w:tc>
      </w:tr>
    </w:tbl>
    <w:p>
      <w:pPr>
        <w:spacing w:after="20"/>
      </w:pPr>
    </w:p>
    <w:p>
      <w:r>
        <w:br w:type="page"/>
      </w:r>
    </w:p>
    <w:p>
      <w:pPr>
        <w:pStyle w:val="Heading1"/>
      </w:pPr>
      <w:r>
        <w:t>Facilitation principles</w:t>
      </w:r>
    </w:p>
    <w:p>
      <w:pPr>
        <w:keepLines/>
        <w:numPr>
          <w:ilvl w:val="0"/>
          <w:numId w:val="10"/>
        </w:numPr>
      </w:pPr>
      <w:r>
        <w:t>Require a learner decision before revealing the model response. Ask what authority, limit, risk, communication, escalation and record support the decision.</w:t>
      </w:r>
    </w:p>
    <w:p>
      <w:pPr>
        <w:keepLines/>
        <w:numPr>
          <w:ilvl w:val="0"/>
          <w:numId w:val="10"/>
        </w:numPr>
      </w:pPr>
      <w:r>
        <w:t>Use questions rather than lectures when learners can reason from the scenario. Correct unsafe or unlawful reasoning immediately and explain why it is unsafe.</w:t>
      </w:r>
    </w:p>
    <w:p>
      <w:pPr>
        <w:keepLines/>
        <w:numPr>
          <w:ilvl w:val="0"/>
          <w:numId w:val="10"/>
        </w:numPr>
      </w:pPr>
      <w:r>
        <w:t>Separate law, verified delegated authority, site procedure, guidance and historical source material in every discussion.</w:t>
      </w:r>
    </w:p>
    <w:p>
      <w:pPr>
        <w:keepLines/>
        <w:numPr>
          <w:ilvl w:val="0"/>
          <w:numId w:val="10"/>
        </w:numPr>
      </w:pPr>
      <w:r>
        <w:t>Avoid tactical detail that reveals how a real site is protected. Teach principles using generic locations, records and identifiers.</w:t>
      </w:r>
    </w:p>
    <w:p>
      <w:pPr>
        <w:keepLines/>
        <w:numPr>
          <w:ilvl w:val="0"/>
          <w:numId w:val="10"/>
        </w:numPr>
      </w:pPr>
      <w:r>
        <w:t>Use respectful, rights-based language. Do not reward stereotyping, unsupported labels, humiliating searches or coercive communication.</w:t>
      </w:r>
    </w:p>
    <w:p>
      <w:pPr>
        <w:keepLines/>
        <w:numPr>
          <w:ilvl w:val="0"/>
          <w:numId w:val="10"/>
        </w:numPr>
      </w:pPr>
      <w:r>
        <w:t>Link verbal decisions to the written record. A learner should be able to explain what will be written, by whom, when and where it is stored.</w:t>
      </w:r>
    </w:p>
    <w:p>
      <w:pPr>
        <w:keepLines/>
        <w:numPr>
          <w:ilvl w:val="0"/>
          <w:numId w:val="10"/>
        </w:numPr>
      </w:pPr>
      <w:r>
        <w:t>Record the first attempt, feedback, correction and independent transfer task so development and competence can be distinguished.</w:t>
      </w:r>
    </w:p>
    <w:p>
      <w:pPr>
        <w:pStyle w:val="Heading2"/>
      </w:pPr>
      <w:r>
        <w:t>Standard scenario facilitation cycle</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1050"/>
        <w:gridCol w:w="2920"/>
        <w:gridCol w:w="3070"/>
        <w:gridCol w:w="2320"/>
      </w:tblGrid>
      <w:tr>
        <w:trPr>
          <w:tblHeader w:val="true"/>
        </w:trPr>
        <w:tc>
          <w:tcPr>
            <w:tcW w:type="dxa" w:w="105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Step</w:t>
            </w:r>
          </w:p>
        </w:tc>
        <w:tc>
          <w:tcPr>
            <w:tcW w:type="dxa" w:w="292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Instructor action</w:t>
            </w:r>
          </w:p>
        </w:tc>
        <w:tc>
          <w:tcPr>
            <w:tcW w:type="dxa" w:w="307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Learner action</w:t>
            </w:r>
          </w:p>
        </w:tc>
        <w:tc>
          <w:tcPr>
            <w:tcW w:type="dxa" w:w="232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Evidence</w:t>
            </w:r>
          </w:p>
        </w:tc>
      </w:tr>
      <w:tr>
        <w:tc>
          <w:tcPr>
            <w:tcW w:type="dxa" w:w="1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1. Brief</w:t>
            </w:r>
          </w:p>
        </w:tc>
        <w:tc>
          <w:tcPr>
            <w:tcW w:type="dxa" w:w="29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State outcome, fictional facts, limits and safety controls.</w:t>
            </w:r>
          </w:p>
        </w:tc>
        <w:tc>
          <w:tcPr>
            <w:tcW w:type="dxa" w:w="307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Clarify only facts needed to start.</w:t>
            </w:r>
          </w:p>
        </w:tc>
        <w:tc>
          <w:tcPr>
            <w:tcW w:type="dxa" w:w="23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Brief acknowledgement</w:t>
            </w:r>
          </w:p>
        </w:tc>
      </w:tr>
      <w:tr>
        <w:tc>
          <w:tcPr>
            <w:tcW w:type="dxa" w:w="1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2. Decide</w:t>
            </w:r>
          </w:p>
        </w:tc>
        <w:tc>
          <w:tcPr>
            <w:tcW w:type="dxa" w:w="29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Withhold model answer; observe reasoning.</w:t>
            </w:r>
          </w:p>
        </w:tc>
        <w:tc>
          <w:tcPr>
            <w:tcW w:type="dxa" w:w="307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State first decision and authority.</w:t>
            </w:r>
          </w:p>
        </w:tc>
        <w:tc>
          <w:tcPr>
            <w:tcW w:type="dxa" w:w="23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First response</w:t>
            </w:r>
          </w:p>
        </w:tc>
      </w:tr>
      <w:tr>
        <w:tc>
          <w:tcPr>
            <w:tcW w:type="dxa" w:w="1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3. Perform</w:t>
            </w:r>
          </w:p>
        </w:tc>
        <w:tc>
          <w:tcPr>
            <w:tcW w:type="dxa" w:w="29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Role-play the visitor, caller, supervisor or custodian.</w:t>
            </w:r>
          </w:p>
        </w:tc>
        <w:tc>
          <w:tcPr>
            <w:tcW w:type="dxa" w:w="307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Communicate and act within role.</w:t>
            </w:r>
          </w:p>
        </w:tc>
        <w:tc>
          <w:tcPr>
            <w:tcW w:type="dxa" w:w="23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Observation notes</w:t>
            </w:r>
          </w:p>
        </w:tc>
      </w:tr>
      <w:tr>
        <w:tc>
          <w:tcPr>
            <w:tcW w:type="dxa" w:w="1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4. Record</w:t>
            </w:r>
          </w:p>
        </w:tc>
        <w:tc>
          <w:tcPr>
            <w:tcW w:type="dxa" w:w="29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Provide a blank occurrence-book, report or handover template.</w:t>
            </w:r>
          </w:p>
        </w:tc>
        <w:tc>
          <w:tcPr>
            <w:tcW w:type="dxa" w:w="307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Create an objective auditable record.</w:t>
            </w:r>
          </w:p>
        </w:tc>
        <w:tc>
          <w:tcPr>
            <w:tcW w:type="dxa" w:w="23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Learner record</w:t>
            </w:r>
          </w:p>
        </w:tc>
      </w:tr>
      <w:tr>
        <w:tc>
          <w:tcPr>
            <w:tcW w:type="dxa" w:w="1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5. Feedback</w:t>
            </w:r>
          </w:p>
        </w:tc>
        <w:tc>
          <w:tcPr>
            <w:tcW w:type="dxa" w:w="29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Link feedback to outcome and observed evidence.</w:t>
            </w:r>
          </w:p>
        </w:tc>
        <w:tc>
          <w:tcPr>
            <w:tcW w:type="dxa" w:w="307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Identify gaps and corrective action.</w:t>
            </w:r>
          </w:p>
        </w:tc>
        <w:tc>
          <w:tcPr>
            <w:tcW w:type="dxa" w:w="23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Feedback record</w:t>
            </w:r>
          </w:p>
        </w:tc>
      </w:tr>
      <w:tr>
        <w:tc>
          <w:tcPr>
            <w:tcW w:type="dxa" w:w="10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6. Repeat</w:t>
            </w:r>
          </w:p>
        </w:tc>
        <w:tc>
          <w:tcPr>
            <w:tcW w:type="dxa" w:w="29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Change one material fact.</w:t>
            </w:r>
          </w:p>
        </w:tc>
        <w:tc>
          <w:tcPr>
            <w:tcW w:type="dxa" w:w="307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Apply learning without prompts.</w:t>
            </w:r>
          </w:p>
        </w:tc>
        <w:tc>
          <w:tcPr>
            <w:tcW w:type="dxa" w:w="232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Corrected transfer evidence</w:t>
            </w:r>
          </w:p>
        </w:tc>
      </w:tr>
    </w:tbl>
    <w:p>
      <w:pPr>
        <w:spacing w:after="20"/>
      </w:pPr>
    </w:p>
    <w:p>
      <w:r>
        <w:br w:type="page"/>
      </w:r>
    </w:p>
    <w:p>
      <w:pPr>
        <w:pStyle w:val="Heading1"/>
      </w:pPr>
      <w:r>
        <w:t>Outcome 1 facilitation: governance and authority</w:t>
      </w:r>
    </w:p>
    <w:p>
      <w:pPr>
        <w:pStyle w:val="Heading2"/>
      </w:pPr>
      <w:r>
        <w:t>Learning emphasis</w:t>
      </w:r>
    </w:p>
    <w:p>
      <w:pPr>
        <w:keepLines/>
        <w:numPr>
          <w:ilvl w:val="0"/>
          <w:numId w:val="10"/>
        </w:numPr>
      </w:pPr>
      <w:r>
        <w:t>Distinguish statutory or delegated functions from the owner's ongoing governance and resourcing duties.</w:t>
      </w:r>
    </w:p>
    <w:p>
      <w:pPr>
        <w:keepLines/>
        <w:numPr>
          <w:ilvl w:val="0"/>
          <w:numId w:val="10"/>
        </w:numPr>
      </w:pPr>
      <w:r>
        <w:t>Show that contracting security services does not remove owner accountability.</w:t>
      </w:r>
    </w:p>
    <w:p>
      <w:pPr>
        <w:keepLines/>
        <w:numPr>
          <w:ilvl w:val="0"/>
          <w:numId w:val="10"/>
        </w:numPr>
      </w:pPr>
      <w:r>
        <w:t>Require learners to verify the issuer, legal basis, scope, effective date and conditions of a claimed instruction.</w:t>
      </w:r>
    </w:p>
    <w:p>
      <w:pPr>
        <w:keepLines/>
        <w:numPr>
          <w:ilvl w:val="0"/>
          <w:numId w:val="10"/>
        </w:numPr>
      </w:pPr>
      <w:r>
        <w:t>Use records to show that recurring control failures are reported, owned, corrected and reviewed.</w:t>
      </w:r>
    </w:p>
    <w:p>
      <w:pPr>
        <w:pStyle w:val="Heading2"/>
      </w:pPr>
      <w:r>
        <w:t>Core activity</w:t>
      </w:r>
    </w:p>
    <w:p>
      <w:pPr>
        <w:spacing w:before="80" w:after="160"/>
        <w:shd w:fill="EDF2F7"/>
        <w:pBdr>
          <w:left w:val="single" w:sz="18" w:space="8" w:color="F41F28"/>
        </w:pBdr>
      </w:pPr>
      <w:r>
        <w:rPr>
          <w:rFonts w:ascii="Arial" w:hAnsi="Arial"/>
          <w:b/>
          <w:color w:val="F41F28"/>
          <w:sz w:val="21"/>
        </w:rPr>
        <w:t xml:space="preserve">Scenario: </w:t>
      </w:r>
      <w:r>
        <w:rPr>
          <w:rFonts w:ascii="Arial" w:hAnsi="Arial"/>
          <w:color w:val="272D3A"/>
          <w:sz w:val="21"/>
        </w:rPr>
        <w:t>A vehicle gate fails repeatedly. Each shift records the fault, but there is no repair owner, temporary control or review date. Learners assign responsibilities to the owner, security manager, shift supervisor and officer, then design the audit trail.</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1500"/>
        <w:gridCol w:w="3930"/>
        <w:gridCol w:w="3930"/>
      </w:tblGrid>
      <w:tr>
        <w:trPr>
          <w:tblHeader w:val="true"/>
        </w:trPr>
        <w:tc>
          <w:tcPr>
            <w:tcW w:type="dxa" w:w="15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Observe</w:t>
            </w:r>
          </w:p>
        </w:tc>
        <w:tc>
          <w:tcPr>
            <w:tcW w:type="dxa" w:w="393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Ask</w:t>
            </w:r>
          </w:p>
        </w:tc>
        <w:tc>
          <w:tcPr>
            <w:tcW w:type="dxa" w:w="393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Look for in the response</w:t>
            </w:r>
          </w:p>
        </w:tc>
      </w:tr>
      <w:tr>
        <w:tc>
          <w:tcPr>
            <w:tcW w:type="dxa" w:w="15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Authority</w:t>
            </w:r>
          </w:p>
        </w:tc>
        <w:tc>
          <w:tcPr>
            <w:tcW w:type="dxa" w:w="393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Who may approve the temporary control and repair?</w:t>
            </w:r>
          </w:p>
        </w:tc>
        <w:tc>
          <w:tcPr>
            <w:tcW w:type="dxa" w:w="393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Correct owner/management responsibilities</w:t>
            </w:r>
          </w:p>
        </w:tc>
      </w:tr>
      <w:tr>
        <w:tc>
          <w:tcPr>
            <w:tcW w:type="dxa" w:w="15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Continuity</w:t>
            </w:r>
          </w:p>
        </w:tc>
        <w:tc>
          <w:tcPr>
            <w:tcW w:type="dxa" w:w="393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How is entry controlled while the gate is defective?</w:t>
            </w:r>
          </w:p>
        </w:tc>
        <w:tc>
          <w:tcPr>
            <w:tcW w:type="dxa" w:w="393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Safe authorised contingency</w:t>
            </w:r>
          </w:p>
        </w:tc>
      </w:tr>
      <w:tr>
        <w:tc>
          <w:tcPr>
            <w:tcW w:type="dxa" w:w="15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Accountability</w:t>
            </w:r>
          </w:p>
        </w:tc>
        <w:tc>
          <w:tcPr>
            <w:tcW w:type="dxa" w:w="393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Which records show notification, owner, due time and closure?</w:t>
            </w:r>
          </w:p>
        </w:tc>
        <w:tc>
          <w:tcPr>
            <w:tcW w:type="dxa" w:w="393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Traceable corrective action</w:t>
            </w:r>
          </w:p>
        </w:tc>
      </w:tr>
    </w:tbl>
    <w:p>
      <w:pPr>
        <w:spacing w:after="20"/>
      </w:pPr>
    </w:p>
    <w:p>
      <w:pPr>
        <w:pStyle w:val="Heading1"/>
      </w:pPr>
      <w:r>
        <w:t>Outcome 2 facilitation: recruitment, appointment and competence</w:t>
      </w:r>
    </w:p>
    <w:p>
      <w:pPr>
        <w:pStyle w:val="Heading2"/>
      </w:pPr>
      <w:r>
        <w:t>Learning emphasis</w:t>
      </w:r>
    </w:p>
    <w:p>
      <w:pPr>
        <w:keepLines/>
        <w:numPr>
          <w:ilvl w:val="0"/>
          <w:numId w:val="10"/>
        </w:numPr>
      </w:pPr>
      <w:r>
        <w:t>Collect and verify only information that is lawful and genuinely relevant to the role.</w:t>
      </w:r>
    </w:p>
    <w:p>
      <w:pPr>
        <w:keepLines/>
        <w:numPr>
          <w:ilvl w:val="0"/>
          <w:numId w:val="10"/>
        </w:numPr>
      </w:pPr>
      <w:r>
        <w:t>Distinguish a verified legal disqualification from a risk that requires fair assessment.</w:t>
      </w:r>
    </w:p>
    <w:p>
      <w:pPr>
        <w:keepLines/>
        <w:numPr>
          <w:ilvl w:val="0"/>
          <w:numId w:val="10"/>
        </w:numPr>
      </w:pPr>
      <w:r>
        <w:t>Treat provisional appointment as controlled restricted deployment, not as permission for unrestricted duty.</w:t>
      </w:r>
    </w:p>
    <w:p>
      <w:pPr>
        <w:keepLines/>
        <w:numPr>
          <w:ilvl w:val="0"/>
          <w:numId w:val="10"/>
        </w:numPr>
      </w:pPr>
      <w:r>
        <w:t>Link induction, equipment, post assignment and refresher training to documented competence.</w:t>
      </w:r>
    </w:p>
    <w:p>
      <w:pPr>
        <w:spacing w:before="80" w:after="160"/>
        <w:shd w:fill="EDF2F7"/>
        <w:pBdr>
          <w:left w:val="single" w:sz="18" w:space="8" w:color="F41F28"/>
        </w:pBdr>
      </w:pPr>
      <w:r>
        <w:rPr>
          <w:rFonts w:ascii="Arial" w:hAnsi="Arial"/>
          <w:b/>
          <w:color w:val="F41F28"/>
          <w:sz w:val="21"/>
        </w:rPr>
        <w:t xml:space="preserve">Case study: </w:t>
      </w:r>
      <w:r>
        <w:rPr>
          <w:rFonts w:ascii="Arial" w:hAnsi="Arial"/>
          <w:color w:val="272D3A"/>
          <w:sz w:val="21"/>
        </w:rPr>
        <w:t>A registered and experienced candidate has not completed site induction and one reference remains unresolved. Learners decide what may be authorised, what must be restricted, who approves it and which records must be protected.</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3100"/>
        <w:gridCol w:w="6260"/>
      </w:tblGrid>
      <w:tr>
        <w:trPr>
          <w:tblHeader w:val="true"/>
        </w:trPr>
        <w:tc>
          <w:tcPr>
            <w:tcW w:type="dxa" w:w="31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Facilitator prompt</w:t>
            </w:r>
          </w:p>
        </w:tc>
        <w:tc>
          <w:tcPr>
            <w:tcW w:type="dxa" w:w="62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Expected control</w:t>
            </w:r>
          </w:p>
        </w:tc>
      </w:tr>
      <w:tr>
        <w:tc>
          <w:tcPr>
            <w:tcW w:type="dxa" w:w="3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What information is necessary?</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Identity, lawful eligibility, suitability, competence and role-relevant risk only.</w:t>
            </w:r>
          </w:p>
        </w:tc>
      </w:tr>
      <w:tr>
        <w:tc>
          <w:tcPr>
            <w:tcW w:type="dxa" w:w="3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What remains outstanding?</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Record the check, owner, restricted duties, supervision and review date.</w:t>
            </w:r>
          </w:p>
        </w:tc>
      </w:tr>
      <w:tr>
        <w:tc>
          <w:tcPr>
            <w:tcW w:type="dxa" w:w="3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What triggers reassessment?</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Legal change, role/equipment change, incident, poor performance or extended absence.</w:t>
            </w:r>
          </w:p>
        </w:tc>
      </w:tr>
    </w:tbl>
    <w:p>
      <w:pPr>
        <w:spacing w:after="20"/>
      </w:pPr>
    </w:p>
    <w:p>
      <w:pPr>
        <w:pStyle w:val="Heading1"/>
      </w:pPr>
      <w:r>
        <w:t>Outcome 3 facilitation: responsibilities, powers and limits</w:t>
      </w:r>
    </w:p>
    <w:p>
      <w:pPr>
        <w:pStyle w:val="Heading2"/>
      </w:pPr>
      <w:r>
        <w:t>Access-control practice</w:t>
      </w:r>
    </w:p>
    <w:p>
      <w:pPr>
        <w:keepLines/>
        <w:numPr>
          <w:ilvl w:val="0"/>
          <w:numId w:val="10"/>
        </w:numPr>
      </w:pPr>
      <w:r>
        <w:t>Use the sequence: observe - identify - verify independently - decide - explain - escalate - record.</w:t>
      </w:r>
    </w:p>
    <w:p>
      <w:pPr>
        <w:keepLines/>
        <w:numPr>
          <w:ilvl w:val="0"/>
          <w:numId w:val="10"/>
        </w:numPr>
      </w:pPr>
      <w:r>
        <w:t>Do not equate identity with authority. A valid identity document does not prove a current appointment, area or time authorisation.</w:t>
      </w:r>
    </w:p>
    <w:p>
      <w:pPr>
        <w:keepLines/>
        <w:numPr>
          <w:ilvl w:val="0"/>
          <w:numId w:val="10"/>
        </w:numPr>
      </w:pPr>
      <w:r>
        <w:t>Practise calm refusal wording and reasonable communication support for language, hearing or other access needs.</w:t>
      </w:r>
    </w:p>
    <w:p>
      <w:pPr>
        <w:pStyle w:val="Heading2"/>
      </w:pPr>
      <w:r>
        <w:t>Search, arrest and force discussion</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1300"/>
        <w:gridCol w:w="4200"/>
        <w:gridCol w:w="3860"/>
      </w:tblGrid>
      <w:tr>
        <w:trPr>
          <w:tblHeader w:val="true"/>
        </w:trPr>
        <w:tc>
          <w:tcPr>
            <w:tcW w:type="dxa" w:w="13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Topic</w:t>
            </w:r>
          </w:p>
        </w:tc>
        <w:tc>
          <w:tcPr>
            <w:tcW w:type="dxa" w:w="42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Non-negotiable teaching point</w:t>
            </w:r>
          </w:p>
        </w:tc>
        <w:tc>
          <w:tcPr>
            <w:tcW w:type="dxa" w:w="38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Unsafe misconception to correct</w:t>
            </w:r>
          </w:p>
        </w:tc>
      </w:tr>
      <w:tr>
        <w:tc>
          <w:tcPr>
            <w:tcW w:type="dxa" w:w="1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Consent search</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Consent must be valid and may be withdrawn; identify separate authority before continuing.</w:t>
            </w:r>
          </w:p>
        </w:tc>
        <w:tc>
          <w:tcPr>
            <w:tcW w:type="dxa" w:w="3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Site rules create unlimited search powers.</w:t>
            </w:r>
          </w:p>
        </w:tc>
      </w:tr>
      <w:tr>
        <w:tc>
          <w:tcPr>
            <w:tcW w:type="dxa" w:w="1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Arrest</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Identify lawful power and supporting facts; protect dignity and arrange prompt police handover.</w:t>
            </w:r>
          </w:p>
        </w:tc>
        <w:tc>
          <w:tcPr>
            <w:tcW w:type="dxa" w:w="3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Refusing access automatically justifies arrest.</w:t>
            </w:r>
          </w:p>
        </w:tc>
      </w:tr>
      <w:tr>
        <w:tc>
          <w:tcPr>
            <w:tcW w:type="dxa" w:w="1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Force</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Lawful, necessary and proportionate; stop when the need ends and report fully.</w:t>
            </w:r>
          </w:p>
        </w:tc>
        <w:tc>
          <w:tcPr>
            <w:tcW w:type="dxa" w:w="3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Force is a routine compliance tool.</w:t>
            </w:r>
          </w:p>
        </w:tc>
      </w:tr>
      <w:tr>
        <w:tc>
          <w:tcPr>
            <w:tcW w:type="dxa" w:w="1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Evidence</w:t>
            </w:r>
          </w:p>
        </w:tc>
        <w:tc>
          <w:tcPr>
            <w:tcW w:type="dxa" w:w="4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Preserve, record, seal/transfer only when trained and authorised; maintain continuity.</w:t>
            </w:r>
          </w:p>
        </w:tc>
        <w:tc>
          <w:tcPr>
            <w:tcW w:type="dxa" w:w="3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 photograph automatically replaces the original source.</w:t>
            </w:r>
          </w:p>
        </w:tc>
      </w:tr>
    </w:tbl>
    <w:p>
      <w:pPr>
        <w:spacing w:after="20"/>
      </w:pPr>
    </w:p>
    <w:p>
      <w:pPr>
        <w:pStyle w:val="Heading2"/>
      </w:pPr>
      <w:r>
        <w:t>Unattended article drill</w:t>
      </w:r>
    </w:p>
    <w:p>
      <w:pPr>
        <w:spacing w:before="80" w:after="160"/>
        <w:shd w:fill="FDECEE"/>
        <w:pBdr>
          <w:left w:val="single" w:sz="18" w:space="8" w:color="F41F28"/>
        </w:pBdr>
      </w:pPr>
      <w:r>
        <w:rPr>
          <w:rFonts w:ascii="Arial" w:hAnsi="Arial"/>
          <w:b/>
          <w:color w:val="F41F28"/>
          <w:sz w:val="21"/>
        </w:rPr>
        <w:t xml:space="preserve">Safety cue: </w:t>
      </w:r>
      <w:r>
        <w:rPr>
          <w:rFonts w:ascii="Arial" w:hAnsi="Arial"/>
          <w:color w:val="272D3A"/>
          <w:sz w:val="21"/>
        </w:rPr>
        <w:t>The learner must not touch, move, open, cover or closely inspect a suspected harmful device. Assess distance, redirection, approved notifications, restricted equipment use where directed and objective observation from safety.</w:t>
      </w:r>
    </w:p>
    <w:p>
      <w:pPr>
        <w:pStyle w:val="Heading1"/>
      </w:pPr>
      <w:r>
        <w:t>Outcome 4 facilitation: misconduct, offences and information</w:t>
      </w:r>
    </w:p>
    <w:p>
      <w:pPr>
        <w:keepLines/>
        <w:numPr>
          <w:ilvl w:val="0"/>
          <w:numId w:val="10"/>
        </w:numPr>
      </w:pPr>
      <w:r>
        <w:t>Separate immediate operational risk control from the later employment or criminal decision.</w:t>
      </w:r>
    </w:p>
    <w:p>
      <w:pPr>
        <w:keepLines/>
        <w:numPr>
          <w:ilvl w:val="0"/>
          <w:numId w:val="10"/>
        </w:numPr>
      </w:pPr>
      <w:r>
        <w:t>Preserve evidence and report through authorised channels without publishing allegations or prejudging guilt.</w:t>
      </w:r>
    </w:p>
    <w:p>
      <w:pPr>
        <w:keepLines/>
        <w:numPr>
          <w:ilvl w:val="0"/>
          <w:numId w:val="10"/>
        </w:numPr>
      </w:pPr>
      <w:r>
        <w:t>Apply the five-question disclosure test before protected information is shared.</w:t>
      </w:r>
    </w:p>
    <w:p>
      <w:pPr>
        <w:keepLines/>
        <w:numPr>
          <w:ilvl w:val="0"/>
          <w:numId w:val="10"/>
        </w:numPr>
      </w:pPr>
      <w:r>
        <w:t>Use current official law for offences, penalties and arrest powers; do not teach historical figures as current.</w:t>
      </w:r>
    </w:p>
    <w:p>
      <w:pPr>
        <w:spacing w:before="80" w:after="160"/>
        <w:shd w:fill="EDF2F7"/>
        <w:pBdr>
          <w:left w:val="single" w:sz="18" w:space="8" w:color="F41F28"/>
        </w:pBdr>
      </w:pPr>
      <w:r>
        <w:rPr>
          <w:rFonts w:ascii="Arial" w:hAnsi="Arial"/>
          <w:b/>
          <w:color w:val="F41F28"/>
          <w:sz w:val="21"/>
        </w:rPr>
        <w:t xml:space="preserve">Classification exercise: </w:t>
      </w:r>
      <w:r>
        <w:rPr>
          <w:rFonts w:ascii="Arial" w:hAnsi="Arial"/>
          <w:color w:val="272D3A"/>
          <w:sz w:val="21"/>
        </w:rPr>
        <w:t>Give learners four cards: asleep on duty, falsified patrol time, private sharing of a CCTV clip, and a confidential authorised vulnerability report. Learners classify immediate risk, possible misconduct, possible offence, evidence and fair-process action.</w:t>
      </w:r>
    </w:p>
    <w:p>
      <w:r>
        <w:br w:type="page"/>
      </w:r>
    </w:p>
    <w:p>
      <w:pPr>
        <w:pStyle w:val="Heading1"/>
      </w:pPr>
      <w:r>
        <w:t>Practical skill stations</w:t>
      </w:r>
    </w:p>
    <w:p>
      <w:pPr>
        <w:keepNext/>
      </w:pPr>
      <w:r>
        <w:t>Rotate small groups through the five stations. Each learner must perform, receive feedback, correct and repeat at least one station with a changed fact.</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1550"/>
        <w:gridCol w:w="2860"/>
        <w:gridCol w:w="2350"/>
        <w:gridCol w:w="2600"/>
      </w:tblGrid>
      <w:tr>
        <w:trPr>
          <w:tblHeader w:val="true"/>
        </w:trPr>
        <w:tc>
          <w:tcPr>
            <w:tcW w:type="dxa" w:w="155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Station</w:t>
            </w:r>
          </w:p>
        </w:tc>
        <w:tc>
          <w:tcPr>
            <w:tcW w:type="dxa" w:w="28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Task</w:t>
            </w:r>
          </w:p>
        </w:tc>
        <w:tc>
          <w:tcPr>
            <w:tcW w:type="dxa" w:w="235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Evidence</w:t>
            </w:r>
          </w:p>
        </w:tc>
        <w:tc>
          <w:tcPr>
            <w:tcW w:type="dxa" w:w="26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Instructor focus</w:t>
            </w:r>
          </w:p>
        </w:tc>
      </w:tr>
      <w:tr>
        <w:tc>
          <w:tcPr>
            <w:tcW w:type="dxa" w:w="15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1. Pre-shift readiness</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Brief back post status, defects and unresolved risks.</w:t>
            </w:r>
          </w:p>
        </w:tc>
        <w:tc>
          <w:tcPr>
            <w:tcW w:type="dxa" w:w="23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Checklist and escalation record</w:t>
            </w:r>
          </w:p>
        </w:tc>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Current instructions, equipment, owner and review time</w:t>
            </w:r>
          </w:p>
        </w:tc>
      </w:tr>
      <w:tr>
        <w:tc>
          <w:tcPr>
            <w:tcW w:type="dxa" w:w="15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2. Access conversation</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Verify a fictional contractor and explain the decision.</w:t>
            </w:r>
          </w:p>
        </w:tc>
        <w:tc>
          <w:tcPr>
            <w:tcW w:type="dxa" w:w="23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Observation and occurrence entry</w:t>
            </w:r>
          </w:p>
        </w:tc>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Dignity, independent verification and audit trail</w:t>
            </w:r>
          </w:p>
        </w:tc>
      </w:tr>
      <w:tr>
        <w:tc>
          <w:tcPr>
            <w:tcW w:type="dxa" w:w="15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3. Radio report</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Give an initial report and one changed-fact update.</w:t>
            </w:r>
          </w:p>
        </w:tc>
        <w:tc>
          <w:tcPr>
            <w:tcW w:type="dxa" w:w="23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Audio/observation and matching record</w:t>
            </w:r>
          </w:p>
        </w:tc>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Location, hazard, people, actions, support, confirmation</w:t>
            </w:r>
          </w:p>
        </w:tc>
      </w:tr>
      <w:tr>
        <w:tc>
          <w:tcPr>
            <w:tcW w:type="dxa" w:w="15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4. Incident report</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Write fact, attributed source and labelled inference.</w:t>
            </w:r>
          </w:p>
        </w:tc>
        <w:tc>
          <w:tcPr>
            <w:tcW w:type="dxa" w:w="23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Draft, feedback and corrected report</w:t>
            </w:r>
          </w:p>
        </w:tc>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Chronology, neutral wording and transparent correction</w:t>
            </w:r>
          </w:p>
        </w:tc>
      </w:tr>
      <w:tr>
        <w:tc>
          <w:tcPr>
            <w:tcW w:type="dxa" w:w="15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5. Evidence handover</w:t>
            </w:r>
          </w:p>
        </w:tc>
        <w:tc>
          <w:tcPr>
            <w:tcW w:type="dxa" w:w="2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Transfer a harmless object and a fictional digital reference.</w:t>
            </w:r>
          </w:p>
        </w:tc>
        <w:tc>
          <w:tcPr>
            <w:tcW w:type="dxa" w:w="235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Record and acknowledgement</w:t>
            </w:r>
          </w:p>
        </w:tc>
        <w:tc>
          <w:tcPr>
            <w:tcW w:type="dxa" w:w="2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Seal/reference, continuity, recipient and discrepancy handling</w:t>
            </w:r>
          </w:p>
        </w:tc>
      </w:tr>
    </w:tbl>
    <w:p>
      <w:pPr>
        <w:spacing w:after="20"/>
      </w:pPr>
    </w:p>
    <w:p>
      <w:pPr>
        <w:pStyle w:val="Heading2"/>
      </w:pPr>
      <w:r>
        <w:t>Recommended observation scale</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900"/>
        <w:gridCol w:w="5100"/>
        <w:gridCol w:w="3360"/>
      </w:tblGrid>
      <w:tr>
        <w:trPr>
          <w:tblHeader w:val="true"/>
        </w:trPr>
        <w:tc>
          <w:tcPr>
            <w:tcW w:type="dxa" w:w="9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Rating</w:t>
            </w:r>
          </w:p>
        </w:tc>
        <w:tc>
          <w:tcPr>
            <w:tcW w:type="dxa" w:w="51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Descriptor</w:t>
            </w:r>
          </w:p>
        </w:tc>
        <w:tc>
          <w:tcPr>
            <w:tcW w:type="dxa" w:w="33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Assessment use</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2</w:t>
            </w:r>
          </w:p>
        </w:tc>
        <w:tc>
          <w:tcPr>
            <w:tcW w:type="dxa" w:w="5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Demonstrated independently and consistently; decision and record are safe, lawful and complete.</w:t>
            </w:r>
          </w:p>
        </w:tc>
        <w:tc>
          <w:tcPr>
            <w:tcW w:type="dxa" w:w="33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Evidence may support competence when all approved criteria are met.</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1</w:t>
            </w:r>
          </w:p>
        </w:tc>
        <w:tc>
          <w:tcPr>
            <w:tcW w:type="dxa" w:w="5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Partly demonstrated; prompt, correction or further practice is required.</w:t>
            </w:r>
          </w:p>
        </w:tc>
        <w:tc>
          <w:tcPr>
            <w:tcW w:type="dxa" w:w="33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Record feedback and reassess the affected criteria.</w:t>
            </w:r>
          </w:p>
        </w:tc>
      </w:tr>
      <w:tr>
        <w:tc>
          <w:tcPr>
            <w:tcW w:type="dxa" w:w="9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0</w:t>
            </w:r>
          </w:p>
        </w:tc>
        <w:tc>
          <w:tcPr>
            <w:tcW w:type="dxa" w:w="51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Not demonstrated, unsafe, unlawful or outside authority.</w:t>
            </w:r>
          </w:p>
        </w:tc>
        <w:tc>
          <w:tcPr>
            <w:tcW w:type="dxa" w:w="33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Stop the activity where necessary; remediate and reassess.</w:t>
            </w:r>
          </w:p>
        </w:tc>
      </w:tr>
    </w:tbl>
    <w:p>
      <w:pPr>
        <w:spacing w:after="20"/>
      </w:pPr>
    </w:p>
    <w:p>
      <w:pPr>
        <w:spacing w:before="80" w:after="160"/>
        <w:shd w:fill="FFF7E5"/>
        <w:pBdr>
          <w:left w:val="single" w:sz="18" w:space="8" w:color="F41F28"/>
        </w:pBdr>
      </w:pPr>
      <w:r>
        <w:rPr>
          <w:rFonts w:ascii="Arial" w:hAnsi="Arial"/>
          <w:b/>
          <w:color w:val="F41F28"/>
          <w:sz w:val="21"/>
        </w:rPr>
        <w:t xml:space="preserve">Approval note: </w:t>
      </w:r>
      <w:r>
        <w:rPr>
          <w:rFonts w:ascii="Arial" w:hAnsi="Arial"/>
          <w:color w:val="272D3A"/>
          <w:sz w:val="21"/>
        </w:rPr>
        <w:t>The scale is a recommended facilitation tool. The provider must confirm the final criteria, weighting, critical indicators and competence rule in the approved assessment plan.</w:t>
      </w:r>
    </w:p>
    <w:p>
      <w:r>
        <w:br w:type="page"/>
      </w:r>
    </w:p>
    <w:p>
      <w:pPr>
        <w:pStyle w:val="Heading1"/>
      </w:pPr>
      <w:r>
        <w:t>Written examination administration</w:t>
      </w:r>
    </w:p>
    <w:p>
      <w:pPr>
        <w:pStyle w:val="Heading2"/>
      </w:pPr>
      <w:r>
        <w:t>Before issue</w:t>
      </w:r>
    </w:p>
    <w:p>
      <w:pPr>
        <w:keepLines/>
        <w:numPr>
          <w:ilvl w:val="0"/>
          <w:numId w:val="10"/>
        </w:numPr>
      </w:pPr>
      <w:r>
        <w:t>Confirm the examination and memorandum share the same code and version.</w:t>
      </w:r>
    </w:p>
    <w:p>
      <w:pPr>
        <w:keepLines/>
        <w:numPr>
          <w:ilvl w:val="0"/>
          <w:numId w:val="10"/>
        </w:numPr>
      </w:pPr>
      <w:r>
        <w:t>Complete candidate, venue, assessor, duration, mode, threshold and accommodation details.</w:t>
      </w:r>
    </w:p>
    <w:p>
      <w:pPr>
        <w:keepLines/>
        <w:numPr>
          <w:ilvl w:val="0"/>
          <w:numId w:val="10"/>
        </w:numPr>
      </w:pPr>
      <w:r>
        <w:t>Secure the memorandum and any alternative papers; record access and issue numbers.</w:t>
      </w:r>
    </w:p>
    <w:p>
      <w:pPr>
        <w:keepLines/>
        <w:numPr>
          <w:ilvl w:val="0"/>
          <w:numId w:val="10"/>
        </w:numPr>
      </w:pPr>
      <w:r>
        <w:t>Explain permitted materials, academic-integrity rules and the protected-information restriction.</w:t>
      </w:r>
    </w:p>
    <w:p>
      <w:pPr>
        <w:keepLines/>
        <w:numPr>
          <w:ilvl w:val="0"/>
          <w:numId w:val="10"/>
        </w:numPr>
      </w:pPr>
      <w:r>
        <w:t>Prepare an incident process for connectivity failure, interruption, illness or suspected compromise.</w:t>
      </w:r>
    </w:p>
    <w:p>
      <w:pPr>
        <w:pStyle w:val="Heading2"/>
      </w:pPr>
      <w:r>
        <w:t>During assessment</w:t>
      </w:r>
    </w:p>
    <w:p>
      <w:pPr>
        <w:keepLines/>
        <w:numPr>
          <w:ilvl w:val="0"/>
          <w:numId w:val="10"/>
        </w:numPr>
      </w:pPr>
      <w:r>
        <w:t>Verify candidate identity through the approved provider process.</w:t>
      </w:r>
    </w:p>
    <w:p>
      <w:pPr>
        <w:keepLines/>
        <w:numPr>
          <w:ilvl w:val="0"/>
          <w:numId w:val="10"/>
        </w:numPr>
      </w:pPr>
      <w:r>
        <w:t>Give the same authorised clarification to all affected candidates and record it.</w:t>
      </w:r>
    </w:p>
    <w:p>
      <w:pPr>
        <w:keepLines/>
        <w:numPr>
          <w:ilvl w:val="0"/>
          <w:numId w:val="10"/>
        </w:numPr>
      </w:pPr>
      <w:r>
        <w:t>Do not coach an answer or reveal memorandum content.</w:t>
      </w:r>
    </w:p>
    <w:p>
      <w:pPr>
        <w:keepLines/>
        <w:numPr>
          <w:ilvl w:val="0"/>
          <w:numId w:val="10"/>
        </w:numPr>
      </w:pPr>
      <w:r>
        <w:t>Record start/end times, interruptions, additional time and integrity incidents.</w:t>
      </w:r>
    </w:p>
    <w:p>
      <w:pPr>
        <w:pStyle w:val="Heading2"/>
      </w:pPr>
      <w:r>
        <w:t>After assessment</w:t>
      </w:r>
    </w:p>
    <w:p>
      <w:pPr>
        <w:keepLines/>
        <w:numPr>
          <w:ilvl w:val="0"/>
          <w:numId w:val="10"/>
        </w:numPr>
      </w:pPr>
      <w:r>
        <w:t>Mark against the memorandum and record accepted equivalent responses.</w:t>
      </w:r>
    </w:p>
    <w:p>
      <w:pPr>
        <w:keepLines/>
        <w:numPr>
          <w:ilvl w:val="0"/>
          <w:numId w:val="10"/>
        </w:numPr>
      </w:pPr>
      <w:r>
        <w:t>Recalculate section totals and connect written results to practical evidence.</w:t>
      </w:r>
    </w:p>
    <w:p>
      <w:pPr>
        <w:keepLines/>
        <w:numPr>
          <w:ilvl w:val="0"/>
          <w:numId w:val="10"/>
        </w:numPr>
      </w:pPr>
      <w:r>
        <w:t>Give feedback linked to outcomes and criteria, not only a percentage.</w:t>
      </w:r>
    </w:p>
    <w:p>
      <w:pPr>
        <w:keepLines/>
        <w:numPr>
          <w:ilvl w:val="0"/>
          <w:numId w:val="10"/>
        </w:numPr>
      </w:pPr>
      <w:r>
        <w:t>Apply the provider-approved reassessment and moderation process.</w:t>
      </w:r>
    </w:p>
    <w:p>
      <w:pPr>
        <w:keepLines/>
        <w:numPr>
          <w:ilvl w:val="0"/>
          <w:numId w:val="10"/>
        </w:numPr>
      </w:pPr>
      <w:r>
        <w:t>Retain or dispose of records according to controlled retention and privacy requirements.</w:t>
      </w:r>
    </w:p>
    <w:p>
      <w:pPr>
        <w:spacing w:before="80" w:after="160"/>
        <w:shd w:fill="FDECEE"/>
        <w:pBdr>
          <w:left w:val="single" w:sz="18" w:space="8" w:color="F41F28"/>
        </w:pBdr>
      </w:pPr>
      <w:r>
        <w:rPr>
          <w:rFonts w:ascii="Arial" w:hAnsi="Arial"/>
          <w:b/>
          <w:color w:val="F41F28"/>
          <w:sz w:val="21"/>
        </w:rPr>
        <w:t xml:space="preserve">Critical safety review: </w:t>
      </w:r>
      <w:r>
        <w:rPr>
          <w:rFonts w:ascii="Arial" w:hAnsi="Arial"/>
          <w:color w:val="272D3A"/>
          <w:sz w:val="21"/>
        </w:rPr>
        <w:t>A high written score must not conceal an answer that grants access without verification, recommends unlawful search or force, approaches a suspected harmful device, disables security without authority, shares protected information or breaks evidence continuity. Apply the approved critical-criteria rule.</w:t>
      </w:r>
    </w:p>
    <w:p>
      <w:r>
        <w:br w:type="page"/>
      </w:r>
    </w:p>
    <w:p>
      <w:pPr>
        <w:pStyle w:val="Heading1"/>
      </w:pPr>
      <w:r>
        <w:t>Online delivery, accessibility and privacy</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2200"/>
        <w:gridCol w:w="7160"/>
      </w:tblGrid>
      <w:tr>
        <w:trPr>
          <w:tblHeader w:val="true"/>
        </w:trPr>
        <w:tc>
          <w:tcPr>
            <w:tcW w:type="dxa" w:w="22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Area</w:t>
            </w:r>
          </w:p>
        </w:tc>
        <w:tc>
          <w:tcPr>
            <w:tcW w:type="dxa" w:w="71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7"/>
              </w:rPr>
              <w:t>Minimum control</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Release sequence</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Require the first attempt before displaying model responses; retain first attempt, feedback and correction.</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Identity and access</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Restrict the course, submissions and memorandum to authorised users; review enrolment and role permissions.</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Fictional content</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Use fictional names, sites, records, images, phone numbers and system references.</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Personal information</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Do not request identity documents, medical information, real screening files or real occurrence-book pages in ordinary online activities.</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Images/audio</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Provide meaningful alt text, transcripts or equivalent tasks; avoid image-only instructions.</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Language</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Use plain language, define technical terms and permit approved communication support.</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Timing</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Apply approved additional time, breaks or alternative formats without lowering the outcome standard.</w:t>
            </w:r>
          </w:p>
        </w:tc>
      </w:tr>
      <w:tr>
        <w:tc>
          <w:tcPr>
            <w:tcW w:type="dxa" w:w="220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Incident response</w:t>
            </w:r>
          </w:p>
        </w:tc>
        <w:tc>
          <w:tcPr>
            <w:tcW w:type="dxa" w:w="7160"/>
            <w:tcMar>
              <w:top w:w="90" w:type="dxa"/>
              <w:start w:w="120" w:type="dxa"/>
              <w:bottom w:w="90" w:type="dxa"/>
              <w:end w:w="120" w:type="dxa"/>
            </w:tcMar>
            <w:vAlign w:val="center"/>
          </w:tcPr>
          <w:p>
            <w:pPr>
              <w:spacing w:before="0" w:after="0" w:line="252" w:lineRule="auto"/>
              <w:jc w:val="left"/>
            </w:pPr>
            <w:r/>
            <w:r>
              <w:rPr>
                <w:rFonts w:ascii="Arial" w:hAnsi="Arial"/>
                <w:b w:val="0"/>
                <w:color w:val="272D3A"/>
                <w:sz w:val="17"/>
              </w:rPr>
              <w:t>Record unauthorised access, sharing, platform failure or lost submissions and follow the provider's incident process.</w:t>
            </w:r>
          </w:p>
        </w:tc>
      </w:tr>
    </w:tbl>
    <w:p>
      <w:pPr>
        <w:spacing w:after="20"/>
      </w:pPr>
    </w:p>
    <w:p>
      <w:pPr>
        <w:pStyle w:val="Heading2"/>
      </w:pPr>
      <w:r>
        <w:t>Remediation cycle</w:t>
      </w:r>
    </w:p>
    <w:p>
      <w:pPr>
        <w:keepLines/>
        <w:numPr>
          <w:ilvl w:val="0"/>
          <w:numId w:val="11"/>
        </w:numPr>
      </w:pPr>
      <w:r>
        <w:t>Identify the exact outcome and behaviour not yet demonstrated.</w:t>
      </w:r>
    </w:p>
    <w:p>
      <w:pPr>
        <w:keepLines/>
        <w:numPr>
          <w:ilvl w:val="0"/>
          <w:numId w:val="11"/>
        </w:numPr>
      </w:pPr>
      <w:r>
        <w:t>Explain the safety, legal or evidence consequence of the gap.</w:t>
      </w:r>
    </w:p>
    <w:p>
      <w:pPr>
        <w:keepLines/>
        <w:numPr>
          <w:ilvl w:val="0"/>
          <w:numId w:val="11"/>
        </w:numPr>
      </w:pPr>
      <w:r>
        <w:t>Provide targeted practice using a new fictional fact pattern.</w:t>
      </w:r>
    </w:p>
    <w:p>
      <w:pPr>
        <w:keepLines/>
        <w:numPr>
          <w:ilvl w:val="0"/>
          <w:numId w:val="11"/>
        </w:numPr>
      </w:pPr>
      <w:r>
        <w:t>Require a corrected decision and record, not only verbal agreement.</w:t>
      </w:r>
    </w:p>
    <w:p>
      <w:pPr>
        <w:keepLines/>
        <w:numPr>
          <w:ilvl w:val="0"/>
          <w:numId w:val="11"/>
        </w:numPr>
      </w:pPr>
      <w:r>
        <w:t>Reassess independently and retain both attempts and the decision trail.</w:t>
      </w:r>
    </w:p>
    <w:p>
      <w:r>
        <w:br w:type="page"/>
      </w:r>
    </w:p>
    <w:p>
      <w:pPr>
        <w:pStyle w:val="Heading1"/>
      </w:pPr>
      <w:r>
        <w:t>Instructor session-planning template</w:t>
      </w:r>
    </w:p>
    <w:tbl>
      <w:tblPr>
        <w:tblW w:type="dxa" w:w="9360"/>
        <w:tblLook w:firstColumn="1" w:firstRow="1" w:lastColumn="0" w:lastRow="0" w:noHBand="0" w:noVBand="1" w:val="04A0"/>
        <w:tblInd w:w="120" w:type="dxa"/>
        <w:tblLayout w:type="fixed"/>
        <w:tblBorders>
          <w:top w:val="single" w:sz="6" w:color="D4DAE3"/>
          <w:left w:val="single" w:sz="6" w:color="D4DAE3"/>
          <w:bottom w:val="single" w:sz="6" w:color="D4DAE3"/>
          <w:right w:val="single" w:sz="6" w:color="D4DAE3"/>
          <w:insideH w:val="single" w:sz="6" w:color="D4DAE3"/>
          <w:insideV w:val="single" w:sz="6" w:color="D4DAE3"/>
        </w:tblBorders>
      </w:tblPr>
      <w:tblGrid>
        <w:gridCol w:w="2500"/>
        <w:gridCol w:w="6860"/>
      </w:tblGrid>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Session / outcome</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Learner profile and support needs</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Current sources and approved site instruments checked</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Learning objectives</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Fictional scenario / activity</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Safety and information controls</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Evidence to retain</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Feedback and transfer task</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bl>
    <w:p>
      <w:pPr>
        <w:spacing w:after="20"/>
      </w:pPr>
    </w:p>
    <w:p>
      <w:pPr>
        <w:pStyle w:val="Heading2"/>
      </w:pPr>
      <w:r>
        <w:t>Practical observation record</w:t>
      </w:r>
    </w:p>
    <w:tbl>
      <w:tblPr>
        <w:tblW w:type="dxa" w:w="9360"/>
        <w:tblLayout w:type="fixed"/>
        <w:tblLook w:firstColumn="1" w:firstRow="1" w:lastColumn="0" w:lastRow="0" w:noHBand="0" w:noVBand="1" w:val="04A0"/>
        <w:tblInd w:w="120" w:type="dxa"/>
        <w:tblBorders>
          <w:top w:val="single" w:sz="6" w:color="C8CFDA"/>
          <w:left w:val="single" w:sz="6" w:color="C8CFDA"/>
          <w:bottom w:val="single" w:sz="6" w:color="C8CFDA"/>
          <w:right w:val="single" w:sz="6" w:color="C8CFDA"/>
          <w:insideH w:val="single" w:sz="6" w:color="C8CFDA"/>
          <w:insideV w:val="single" w:sz="6" w:color="C8CFDA"/>
        </w:tblBorders>
      </w:tblPr>
      <w:tblGrid>
        <w:gridCol w:w="4300"/>
        <w:gridCol w:w="600"/>
        <w:gridCol w:w="600"/>
        <w:gridCol w:w="600"/>
        <w:gridCol w:w="3260"/>
      </w:tblGrid>
      <w:tr>
        <w:trPr>
          <w:tblHeader w:val="true"/>
        </w:trPr>
        <w:tc>
          <w:tcPr>
            <w:tcW w:type="dxa" w:w="43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Criterion</w:t>
            </w:r>
          </w:p>
        </w:tc>
        <w:tc>
          <w:tcPr>
            <w:tcW w:type="dxa" w:w="6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0</w:t>
            </w:r>
          </w:p>
        </w:tc>
        <w:tc>
          <w:tcPr>
            <w:tcW w:type="dxa" w:w="6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1</w:t>
            </w:r>
          </w:p>
        </w:tc>
        <w:tc>
          <w:tcPr>
            <w:tcW w:type="dxa" w:w="60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2</w:t>
            </w:r>
          </w:p>
        </w:tc>
        <w:tc>
          <w:tcPr>
            <w:tcW w:type="dxa" w:w="3260"/>
            <w:shd w:fill="141E46"/>
            <w:tcMar>
              <w:top w:w="90" w:type="dxa"/>
              <w:start w:w="120" w:type="dxa"/>
              <w:bottom w:w="90" w:type="dxa"/>
              <w:end w:w="120" w:type="dxa"/>
            </w:tcMar>
            <w:vAlign w:val="center"/>
          </w:tcPr>
          <w:p>
            <w:pPr>
              <w:spacing w:before="0" w:after="0" w:line="252" w:lineRule="auto"/>
              <w:jc w:val="left"/>
            </w:pPr>
            <w:r/>
            <w:r>
              <w:rPr>
                <w:rFonts w:ascii="Arial" w:hAnsi="Arial"/>
                <w:b/>
                <w:color w:val="FFFFFF"/>
                <w:sz w:val="16"/>
              </w:rPr>
              <w:t>Evidence / feedback</w:t>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Identifies authority and role limits</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Protects safety and dignity</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Verifies information before deciding</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Communicates clearly and de-escalates</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Escalates to the correct authorised person</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Creates an objective auditable record</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Protects information and evidence</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r>
        <w:tc>
          <w:tcPr>
            <w:tcW w:type="dxa" w:w="43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t>Corrects and transfers learning independently</w:t>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60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c>
          <w:tcPr>
            <w:tcW w:type="dxa" w:w="3260"/>
            <w:tcMar>
              <w:top w:w="90" w:type="dxa"/>
              <w:start w:w="120" w:type="dxa"/>
              <w:bottom w:w="90" w:type="dxa"/>
              <w:end w:w="120" w:type="dxa"/>
            </w:tcMar>
            <w:vAlign w:val="center"/>
          </w:tcPr>
          <w:p>
            <w:pPr>
              <w:spacing w:before="0" w:after="0" w:line="252" w:lineRule="auto"/>
              <w:jc w:val="left"/>
            </w:pPr>
            <w:r/>
            <w:r>
              <w:rPr>
                <w:rFonts w:ascii="Arial" w:hAnsi="Arial"/>
                <w:b w:val="0"/>
                <w:color w:val="272D3A"/>
                <w:sz w:val="16"/>
              </w:rPr>
            </w:r>
          </w:p>
        </w:tc>
      </w:tr>
    </w:tbl>
    <w:p>
      <w:pPr>
        <w:spacing w:after="20"/>
      </w:pPr>
    </w:p>
    <w:p>
      <w:r>
        <w:br w:type="page"/>
      </w:r>
    </w:p>
    <w:p>
      <w:pPr>
        <w:pStyle w:val="Heading2"/>
      </w:pPr>
      <w:r>
        <w:t>Review and approval record</w:t>
      </w:r>
    </w:p>
    <w:tbl>
      <w:tblPr>
        <w:tblW w:type="dxa" w:w="9360"/>
        <w:tblLook w:firstColumn="1" w:firstRow="1" w:lastColumn="0" w:lastRow="0" w:noHBand="0" w:noVBand="1" w:val="04A0"/>
        <w:tblInd w:w="120" w:type="dxa"/>
        <w:tblLayout w:type="fixed"/>
        <w:tblBorders>
          <w:top w:val="single" w:sz="6" w:color="D4DAE3"/>
          <w:left w:val="single" w:sz="6" w:color="D4DAE3"/>
          <w:bottom w:val="single" w:sz="6" w:color="D4DAE3"/>
          <w:right w:val="single" w:sz="6" w:color="D4DAE3"/>
          <w:insideH w:val="single" w:sz="6" w:color="D4DAE3"/>
          <w:insideV w:val="single" w:sz="6" w:color="D4DAE3"/>
        </w:tblBorders>
      </w:tblPr>
      <w:tblGrid>
        <w:gridCol w:w="2500"/>
        <w:gridCol w:w="6860"/>
      </w:tblGrid>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Legal reviewer</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Name / signature / date / conditions</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Subject-matter expert</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Name / signature / date / conditions</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Assessor</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Name / registration or authorisation / signature / date</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Moderator</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Name / registration or authorisation / signature / date</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Provider approval</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t>Name / role / signature / date</w:t>
            </w:r>
          </w:p>
        </w:tc>
      </w:tr>
      <w:tr>
        <w:tc>
          <w:tcPr>
            <w:tcW w:type="dxa" w:w="2500"/>
            <w:shd w:fill="F3F5F8"/>
            <w:tcMar>
              <w:top w:w="90" w:type="dxa"/>
              <w:start w:w="120" w:type="dxa"/>
              <w:bottom w:w="90" w:type="dxa"/>
              <w:end w:w="120" w:type="dxa"/>
            </w:tcMar>
            <w:vAlign w:val="center"/>
          </w:tcPr>
          <w:p>
            <w:pPr>
              <w:spacing w:before="0" w:after="0" w:line="252" w:lineRule="auto"/>
              <w:jc w:val="left"/>
            </w:pPr>
            <w:r/>
            <w:r>
              <w:rPr>
                <w:rFonts w:ascii="Arial" w:hAnsi="Arial"/>
                <w:b/>
                <w:color w:val="141E46"/>
                <w:sz w:val="19"/>
              </w:rPr>
              <w:t>Next review</w:t>
            </w:r>
          </w:p>
        </w:tc>
        <w:tc>
          <w:tcPr>
            <w:tcW w:type="dxa" w:w="6860"/>
            <w:tcMar>
              <w:top w:w="90" w:type="dxa"/>
              <w:start w:w="120" w:type="dxa"/>
              <w:bottom w:w="90" w:type="dxa"/>
              <w:end w:w="120" w:type="dxa"/>
            </w:tcMar>
            <w:vAlign w:val="center"/>
          </w:tcPr>
          <w:p>
            <w:pPr>
              <w:spacing w:before="0" w:after="0" w:line="252" w:lineRule="auto"/>
              <w:jc w:val="left"/>
            </w:pPr>
            <w:r/>
            <w:r>
              <w:rPr>
                <w:rFonts w:ascii="Arial" w:hAnsi="Arial"/>
                <w:b w:val="0"/>
                <w:color w:val="272D3A"/>
                <w:sz w:val="19"/>
              </w:rPr>
            </w:r>
          </w:p>
        </w:tc>
      </w:tr>
    </w:tbl>
    <w:p>
      <w:pPr>
        <w:spacing w:after="20"/>
      </w:pPr>
    </w:p>
    <w:p>
      <w:pPr>
        <w:spacing w:before="80" w:after="160"/>
        <w:shd w:fill="FDECEE"/>
        <w:pBdr>
          <w:left w:val="single" w:sz="18" w:space="8" w:color="F41F28"/>
        </w:pBdr>
      </w:pPr>
      <w:r>
        <w:rPr>
          <w:rFonts w:ascii="Arial" w:hAnsi="Arial"/>
          <w:b/>
          <w:color w:val="F41F28"/>
          <w:sz w:val="21"/>
        </w:rPr>
        <w:t xml:space="preserve">Status: </w:t>
      </w:r>
      <w:r>
        <w:rPr>
          <w:rFonts w:ascii="Arial" w:hAnsi="Arial"/>
          <w:color w:val="272D3A"/>
          <w:sz w:val="21"/>
        </w:rPr>
        <w:t>Controlled training draft. Approval is required before delivery, assessment or publication.</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5E6980"/>
        <w:sz w:val="17"/>
      </w:rPr>
      <w:t xml:space="preserve">MTC-NKP-IG-01  |  </w:t>
    </w:r>
    <w:r>
      <w:rPr>
        <w:rFonts w:ascii="Arial" w:hAnsi="Arial"/>
        <w:b/>
        <w:color w:val="5E6980"/>
        <w:sz w:val="17"/>
      </w:rPr>
      <w:t xml:space="preserve">Page </w:t>
    </w:r>
    <w:r>
      <w:rPr>
        <w:rFonts w:ascii="Arial" w:hAnsi="Arial"/>
        <w:b/>
        <w:color w:val="5E698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E6980"/>
        <w:sz w:val="17"/>
      </w:rPr>
      <w:t>MUPO TRAINING CENTER  |  INSTRUCTOR AND ASSESSOR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72D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41E46"/>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F41F2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1E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1E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E69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Mupo NKP Instructor and Assessor Guide - Version 1.0</dc:title>
  <dc:subject/>
  <dc:creator>Mupo Training Center</dc:creator>
  <cp:keywords>National Key Point, Unit Standard 246693, assessment, blended learning</cp:keywords>
  <dc:description>generated by python-docx</dc:description>
  <cp:lastModifiedBy/>
  <cp:revision>1</cp:revision>
  <dcterms:created xsi:type="dcterms:W3CDTF">2013-12-23T23:15:00Z</dcterms:created>
  <dcterms:modified xsi:type="dcterms:W3CDTF">2013-12-23T23:15:00Z</dcterms:modified>
  <cp:category/>
</cp:coreProperties>
</file>