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3108960" cy="1038012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po_training_center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03801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  <w:drawing>
          <wp:inline xmlns:a="http://schemas.openxmlformats.org/drawingml/2006/main" xmlns:pic="http://schemas.openxmlformats.org/drawingml/2006/picture">
            <wp:extent cx="1281711" cy="91440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po_security_training_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1711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120"/>
        <w:jc w:val="center"/>
        <w:pBdr>
          <w:bottom w:val="single" w:sz="18" w:space="10" w:color="F51B28"/>
        </w:pBdr>
      </w:pPr>
      <w:r>
        <w:rPr>
          <w:rFonts w:ascii="Calibri" w:hAnsi="Calibri"/>
          <w:b/>
          <w:color w:val="F51B28"/>
          <w:sz w:val="22"/>
        </w:rPr>
        <w:t>SECURITY TRAINING PROGRAMME</w:t>
      </w:r>
    </w:p>
    <w:p>
      <w:pPr>
        <w:spacing w:before="560" w:after="160"/>
        <w:jc w:val="center"/>
      </w:pPr>
      <w:r>
        <w:rPr>
          <w:rFonts w:ascii="Calibri" w:hAnsi="Calibri"/>
          <w:b/>
          <w:color w:val="121B45"/>
          <w:sz w:val="60"/>
        </w:rPr>
        <w:t>ASSESSOR MEMORANDUM</w:t>
      </w:r>
    </w:p>
    <w:p>
      <w:pPr>
        <w:spacing w:after="440"/>
        <w:jc w:val="center"/>
      </w:pPr>
      <w:r>
        <w:rPr>
          <w:rFonts w:ascii="Calibri" w:hAnsi="Calibri"/>
          <w:color w:val="626B7F"/>
          <w:sz w:val="28"/>
        </w:rPr>
        <w:t>Model answers, marking tools and moderation record</w:t>
      </w:r>
    </w:p>
    <w:p>
      <w:pPr>
        <w:spacing w:before="360" w:after="120"/>
        <w:jc w:val="center"/>
        <w:shd w:fill="121B45"/>
      </w:pPr>
      <w:r>
        <w:rPr>
          <w:rFonts w:ascii="Calibri" w:hAnsi="Calibri"/>
          <w:b/>
          <w:color w:val="FFFFFF"/>
          <w:sz w:val="24"/>
        </w:rPr>
        <w:t xml:space="preserve">  PSIRA GRADE E, D &amp; C  |  CONFIDENTIAL - ASSESSOR USE ONLY  </w:t>
      </w:r>
    </w:p>
    <w:p>
      <w:pPr>
        <w:spacing w:after="60"/>
        <w:jc w:val="center"/>
      </w:pPr>
      <w:r>
        <w:rPr>
          <w:rFonts w:ascii="Calibri" w:hAnsi="Calibri"/>
          <w:b/>
          <w:color w:val="626B7F"/>
          <w:sz w:val="19"/>
        </w:rPr>
        <w:t>Document code: MTC-PSIRA-MEMO-01  |  Edition 1.0  |  18 August 2026</w:t>
      </w:r>
    </w:p>
    <w:p>
      <w:pPr>
        <w:spacing w:after="60"/>
        <w:jc w:val="center"/>
      </w:pPr>
      <w:r>
        <w:rPr>
          <w:rFonts w:ascii="Calibri" w:hAnsi="Calibri"/>
          <w:b w:val="0"/>
          <w:color w:val="626B7F"/>
          <w:sz w:val="19"/>
        </w:rPr>
        <w:t>377 Johannes Ramakhoase Street, Office 0005, Jardown 1</w:t>
      </w:r>
    </w:p>
    <w:p>
      <w:pPr>
        <w:spacing w:after="60"/>
        <w:jc w:val="center"/>
      </w:pPr>
      <w:r>
        <w:rPr>
          <w:rFonts w:ascii="Calibri" w:hAnsi="Calibri"/>
          <w:b w:val="0"/>
          <w:color w:val="626B7F"/>
          <w:sz w:val="19"/>
        </w:rPr>
        <w:t>+27 12 004 2004  |  WhatsApp +27 84 750 7013</w:t>
      </w:r>
    </w:p>
    <w:p>
      <w:pPr>
        <w:spacing w:after="60"/>
        <w:jc w:val="center"/>
      </w:pPr>
      <w:r>
        <w:rPr>
          <w:rFonts w:ascii="Calibri" w:hAnsi="Calibri"/>
          <w:b w:val="0"/>
          <w:color w:val="626B7F"/>
          <w:sz w:val="19"/>
        </w:rPr>
        <w:t>admin@mupotrainingcenter.co.za  |  www.mupotrainingcenter.co.za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0F1"/>
            <w:tcBorders>
              <w:top w:val="single" w:sz="8" w:color="F51B28"/>
              <w:left w:val="single" w:sz="8" w:color="F51B28"/>
              <w:bottom w:val="single" w:sz="8" w:color="F51B28"/>
              <w:right w:val="single" w:sz="8" w:color="F51B28"/>
              <w:insideH w:val="single" w:sz="8" w:color="F51B28"/>
              <w:insideV w:val="single" w:sz="8" w:color="F51B2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51B28"/>
              </w:rPr>
              <w:t xml:space="preserve">Security: </w:t>
            </w:r>
            <w:r>
              <w:rPr>
                <w:rFonts w:ascii="Calibri" w:hAnsi="Calibri"/>
                <w:color w:val="222838"/>
              </w:rPr>
              <w:t>Keep this memorandum secure. Do not issue, display or upload it with the learner question paper.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Memorandum version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Assessment date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Venue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Assessor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Moderator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</w:tbl>
    <w:p>
      <w:pPr>
        <w:pStyle w:val="Heading2"/>
      </w:pPr>
      <w:r>
        <w:t>Assessment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360"/>
      </w:tblGrid>
      <w:tr>
        <w:trPr/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Duration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spacing w:after="40"/>
            </w:pPr>
            <w:r>
              <w:t>120 minutes</w:t>
            </w:r>
          </w:p>
        </w:tc>
      </w:tr>
      <w:tr>
        <w:trPr/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Total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spacing w:after="40"/>
            </w:pPr>
            <w:r>
              <w:t>100 marks</w:t>
            </w:r>
          </w:p>
        </w:tc>
      </w:tr>
      <w:tr>
        <w:trPr/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Sections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spacing w:after="40"/>
            </w:pPr>
            <w:r>
              <w:t>A: Multiple choice (30) | B: Short answers (30) | C: Scenarios (40)</w:t>
            </w:r>
          </w:p>
        </w:tc>
      </w:tr>
      <w:tr>
        <w:trPr/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Pass standard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spacing w:after="40"/>
            </w:pPr>
            <w:r>
              <w:t>Apply the current provider-approved assessment standard.</w:t>
            </w:r>
          </w:p>
        </w:tc>
      </w:tr>
    </w:tbl>
    <w:p>
      <w:pPr>
        <w:pStyle w:val="Heading2"/>
      </w:pPr>
      <w:r>
        <w:t>Assessor instructions</w:t>
      </w:r>
    </w:p>
    <w:p>
      <w:pPr>
        <w:pStyle w:val="ListBullet"/>
        <w:spacing w:after="80" w:line="300" w:lineRule="auto"/>
        <w:ind w:left="540" w:hanging="271"/>
      </w:pPr>
      <w:r>
        <w:t>Mark consistently against this memorandum and the stated mark allocation.</w:t>
      </w:r>
    </w:p>
    <w:p>
      <w:pPr>
        <w:pStyle w:val="ListBullet"/>
        <w:spacing w:after="80" w:line="300" w:lineRule="auto"/>
        <w:ind w:left="540" w:hanging="271"/>
      </w:pPr>
      <w:r>
        <w:t>Accept a valid alternative answer only when it demonstrates the same safe and lawful principle.</w:t>
      </w:r>
    </w:p>
    <w:p>
      <w:pPr>
        <w:pStyle w:val="ListBullet"/>
        <w:spacing w:after="80" w:line="300" w:lineRule="auto"/>
        <w:ind w:left="540" w:hanging="271"/>
      </w:pPr>
      <w:r>
        <w:t>Record accepted alternatives and apply them consistently across learners.</w:t>
      </w:r>
    </w:p>
    <w:p>
      <w:pPr>
        <w:pStyle w:val="ListBullet"/>
        <w:spacing w:after="80" w:line="300" w:lineRule="auto"/>
        <w:ind w:left="540" w:hanging="271"/>
      </w:pPr>
      <w:r>
        <w:t>Complete the marking record, feedback and moderation evidence in line with the provider's current process.</w:t>
      </w:r>
    </w:p>
    <w:p>
      <w:pPr>
        <w:spacing w:before="100" w:after="0"/>
      </w:pPr>
      <w:r>
        <w:rPr>
          <w:rFonts w:ascii="Calibri" w:hAnsi="Calibri"/>
          <w:b/>
          <w:color w:val="121B45"/>
          <w:sz w:val="17"/>
        </w:rPr>
        <w:t xml:space="preserve">Reference and control note: </w:t>
      </w:r>
      <w:r>
        <w:rPr>
          <w:rFonts w:ascii="Calibri" w:hAnsi="Calibri"/>
          <w:color w:val="626B7F"/>
          <w:sz w:val="17"/>
        </w:rPr>
        <w:t>Derived from the Mupo Security Training Grade E, D &amp; C Training Manual, Publication Ready Edition 2.1. Review against current PSiRA, legal, accreditation and internal assessment requirements before use.</w:t>
      </w:r>
    </w:p>
    <w:p>
      <w:r>
        <w:br w:type="page"/>
      </w:r>
    </w:p>
    <w:p>
      <w:pPr>
        <w:pStyle w:val="Heading1"/>
      </w:pPr>
      <w:r>
        <w:t>ASSESSOR MEMORANDUM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0F1"/>
            <w:tcBorders>
              <w:top w:val="single" w:sz="8" w:color="F51B28"/>
              <w:left w:val="single" w:sz="8" w:color="F51B28"/>
              <w:bottom w:val="single" w:sz="8" w:color="F51B28"/>
              <w:right w:val="single" w:sz="8" w:color="F51B28"/>
              <w:insideH w:val="single" w:sz="8" w:color="F51B28"/>
              <w:insideV w:val="single" w:sz="8" w:color="F51B2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51B28"/>
              </w:rPr>
              <w:t xml:space="preserve">Marking principle: </w:t>
            </w:r>
            <w:r>
              <w:rPr>
                <w:rFonts w:ascii="Calibri" w:hAnsi="Calibri"/>
                <w:color w:val="222838"/>
              </w:rPr>
              <w:t>Mark accepted alternatives only when they demonstrate the same safe and lawful principle.</w:t>
            </w:r>
          </w:p>
        </w:tc>
      </w:tr>
    </w:tbl>
    <w:p>
      <w:pPr>
        <w:spacing w:after="0"/>
      </w:pPr>
    </w:p>
    <w:p>
      <w:pPr>
        <w:pStyle w:val="Heading2"/>
      </w:pPr>
      <w:r>
        <w:t>Section A answers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1560"/>
        <w:gridCol w:w="1560"/>
        <w:gridCol w:w="1560"/>
        <w:gridCol w:w="1560"/>
        <w:gridCol w:w="1560"/>
      </w:tblGrid>
      <w:tr>
        <w:trPr/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shd w:fill="121B45"/>
            <w:tcBorders>
              <w:top w:val="single" w:sz="6" w:color="121B45"/>
              <w:left w:val="single" w:sz="6" w:color="121B45"/>
              <w:bottom w:val="single" w:sz="6" w:color="121B45"/>
              <w:right w:val="single" w:sz="6" w:color="121B45"/>
              <w:insideH w:val="single" w:sz="6" w:color="121B45"/>
              <w:insideV w:val="single" w:sz="6" w:color="121B45"/>
            </w:tcBorders>
          </w:tcPr>
          <w:p>
            <w:r>
              <w:rPr>
                <w:rFonts w:ascii="Calibri" w:hAnsi="Calibri"/>
                <w:b/>
                <w:color w:val="FFFFFF"/>
              </w:rPr>
              <w:t>Q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shd w:fill="121B45"/>
            <w:tcBorders>
              <w:top w:val="single" w:sz="6" w:color="121B45"/>
              <w:left w:val="single" w:sz="6" w:color="121B45"/>
              <w:bottom w:val="single" w:sz="6" w:color="121B45"/>
              <w:right w:val="single" w:sz="6" w:color="121B45"/>
              <w:insideH w:val="single" w:sz="6" w:color="121B45"/>
              <w:insideV w:val="single" w:sz="6" w:color="121B45"/>
            </w:tcBorders>
          </w:tcPr>
          <w:p>
            <w:r>
              <w:rPr>
                <w:rFonts w:ascii="Calibri" w:hAnsi="Calibri"/>
                <w:b/>
                <w:color w:val="FFFFFF"/>
              </w:rPr>
              <w:t>Answer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shd w:fill="121B45"/>
            <w:tcBorders>
              <w:top w:val="single" w:sz="6" w:color="121B45"/>
              <w:left w:val="single" w:sz="6" w:color="121B45"/>
              <w:bottom w:val="single" w:sz="6" w:color="121B45"/>
              <w:right w:val="single" w:sz="6" w:color="121B45"/>
              <w:insideH w:val="single" w:sz="6" w:color="121B45"/>
              <w:insideV w:val="single" w:sz="6" w:color="121B45"/>
            </w:tcBorders>
          </w:tcPr>
          <w:p>
            <w:r>
              <w:rPr>
                <w:rFonts w:ascii="Calibri" w:hAnsi="Calibri"/>
                <w:b/>
                <w:color w:val="FFFFFF"/>
              </w:rPr>
              <w:t>Q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shd w:fill="121B45"/>
            <w:tcBorders>
              <w:top w:val="single" w:sz="6" w:color="121B45"/>
              <w:left w:val="single" w:sz="6" w:color="121B45"/>
              <w:bottom w:val="single" w:sz="6" w:color="121B45"/>
              <w:right w:val="single" w:sz="6" w:color="121B45"/>
              <w:insideH w:val="single" w:sz="6" w:color="121B45"/>
              <w:insideV w:val="single" w:sz="6" w:color="121B45"/>
            </w:tcBorders>
          </w:tcPr>
          <w:p>
            <w:r>
              <w:rPr>
                <w:rFonts w:ascii="Calibri" w:hAnsi="Calibri"/>
                <w:b/>
                <w:color w:val="FFFFFF"/>
              </w:rPr>
              <w:t>Answer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shd w:fill="121B45"/>
            <w:tcBorders>
              <w:top w:val="single" w:sz="6" w:color="121B45"/>
              <w:left w:val="single" w:sz="6" w:color="121B45"/>
              <w:bottom w:val="single" w:sz="6" w:color="121B45"/>
              <w:right w:val="single" w:sz="6" w:color="121B45"/>
              <w:insideH w:val="single" w:sz="6" w:color="121B45"/>
              <w:insideV w:val="single" w:sz="6" w:color="121B45"/>
            </w:tcBorders>
          </w:tcPr>
          <w:p>
            <w:r>
              <w:rPr>
                <w:rFonts w:ascii="Calibri" w:hAnsi="Calibri"/>
                <w:b/>
                <w:color w:val="FFFFFF"/>
              </w:rPr>
              <w:t>Q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shd w:fill="121B45"/>
            <w:tcBorders>
              <w:top w:val="single" w:sz="6" w:color="121B45"/>
              <w:left w:val="single" w:sz="6" w:color="121B45"/>
              <w:bottom w:val="single" w:sz="6" w:color="121B45"/>
              <w:right w:val="single" w:sz="6" w:color="121B45"/>
              <w:insideH w:val="single" w:sz="6" w:color="121B45"/>
              <w:insideV w:val="single" w:sz="6" w:color="121B45"/>
            </w:tcBorders>
          </w:tcPr>
          <w:p>
            <w:r>
              <w:rPr>
                <w:rFonts w:ascii="Calibri" w:hAnsi="Calibri"/>
                <w:b/>
                <w:color w:val="FFFFFF"/>
              </w:rPr>
              <w:t>Answer</w:t>
            </w:r>
          </w:p>
        </w:tc>
      </w:tr>
      <w:tr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5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pPr>
              <w:jc w:val="center"/>
            </w:pPr>
            <w:r>
              <w:t>B</w:t>
            </w:r>
          </w:p>
        </w:tc>
      </w:tr>
    </w:tbl>
    <w:p>
      <w:pPr>
        <w:pStyle w:val="Heading2"/>
      </w:pPr>
      <w:r>
        <w:t>Section B marking guide</w:t>
      </w:r>
    </w:p>
    <w:p>
      <w:pPr>
        <w:keepNext/>
      </w:pPr>
      <w:r>
        <w:rPr>
          <w:rFonts w:ascii="Calibri" w:hAnsi="Calibri"/>
          <w:b/>
          <w:color w:val="121B45"/>
        </w:rPr>
        <w:t>31. List three reasons why hygiene and uniform standards matter in security work. [3]</w:t>
      </w:r>
    </w:p>
    <w:p>
      <w:pPr>
        <w:spacing w:after="140"/>
      </w:pPr>
      <w:r>
        <w:t>Award one mark for each valid point, up to the stated maximum. Examples: health; professional image; client/public confidence; reduced contamination.</w:t>
      </w:r>
    </w:p>
    <w:p>
      <w:pPr>
        <w:keepNext/>
      </w:pPr>
      <w:r>
        <w:rPr>
          <w:rFonts w:ascii="Calibri" w:hAnsi="Calibri"/>
          <w:b/>
          <w:color w:val="121B45"/>
        </w:rPr>
        <w:t>32. Differentiate a vulnerable area from a vital point and give one example of each. [3]</w:t>
      </w:r>
    </w:p>
    <w:p>
      <w:pPr>
        <w:spacing w:after="140"/>
      </w:pPr>
      <w:r>
        <w:t>Award one mark for each valid point, up to the stated maximum. Examples: vulnerable area definition; vital point definition; two suitable examples.</w:t>
      </w:r>
    </w:p>
    <w:p>
      <w:pPr>
        <w:keepNext/>
      </w:pPr>
      <w:r>
        <w:rPr>
          <w:rFonts w:ascii="Calibri" w:hAnsi="Calibri"/>
          <w:b/>
          <w:color w:val="121B45"/>
        </w:rPr>
        <w:t>33. State three actions required after finding a suspicious object. [3]</w:t>
      </w:r>
    </w:p>
    <w:p>
      <w:pPr>
        <w:spacing w:after="140"/>
      </w:pPr>
      <w:r>
        <w:t>Award one mark for each valid point, up to the stated maximum. Examples: do not touch; move people/isolate; notify approved contacts; preserve access for responders.</w:t>
      </w:r>
    </w:p>
    <w:p>
      <w:pPr>
        <w:keepNext/>
      </w:pPr>
      <w:r>
        <w:rPr>
          <w:rFonts w:ascii="Calibri" w:hAnsi="Calibri"/>
          <w:b/>
          <w:color w:val="121B45"/>
        </w:rPr>
        <w:t>34. Give three principles for safe de-escalation and personal safety. [3]</w:t>
      </w:r>
    </w:p>
    <w:p>
      <w:pPr>
        <w:spacing w:after="140"/>
      </w:pPr>
      <w:r>
        <w:t>Award one mark for each valid point, up to the stated maximum. Examples: calm communication; distance/positioning; exit/assistance; avoid unnecessary confrontation.</w:t>
      </w:r>
    </w:p>
    <w:p>
      <w:pPr>
        <w:keepNext/>
      </w:pPr>
      <w:r>
        <w:rPr>
          <w:rFonts w:ascii="Calibri" w:hAnsi="Calibri"/>
          <w:b/>
          <w:color w:val="121B45"/>
        </w:rPr>
        <w:t>35. List three items that should be checked during a patrol. [3]</w:t>
      </w:r>
    </w:p>
    <w:p>
      <w:pPr>
        <w:spacing w:after="140"/>
      </w:pPr>
      <w:r>
        <w:t>Award one mark for each valid point, up to the stated maximum. Examples: doors/windows/fences; lighting/hazards; vital points; emergency equipment.</w:t>
      </w:r>
    </w:p>
    <w:p>
      <w:pPr>
        <w:keepNext/>
      </w:pPr>
      <w:r>
        <w:rPr>
          <w:rFonts w:ascii="Calibri" w:hAnsi="Calibri"/>
          <w:b/>
          <w:color w:val="121B45"/>
        </w:rPr>
        <w:t>36. State three priorities when smoke or fire is discovered. [3]</w:t>
      </w:r>
    </w:p>
    <w:p>
      <w:pPr>
        <w:spacing w:after="140"/>
      </w:pPr>
      <w:r>
        <w:t>Award one mark for each valid point, up to the stated maximum. Examples: raise alarm; protect/evacuate life; call emergency help; follow site plan.</w:t>
      </w:r>
    </w:p>
    <w:p>
      <w:pPr>
        <w:keepNext/>
      </w:pPr>
      <w:r>
        <w:rPr>
          <w:rFonts w:ascii="Calibri" w:hAnsi="Calibri"/>
          <w:b/>
          <w:color w:val="121B45"/>
        </w:rPr>
        <w:t>37. Explain three checks required before granting access. [3]</w:t>
      </w:r>
    </w:p>
    <w:p>
      <w:pPr>
        <w:spacing w:after="140"/>
      </w:pPr>
      <w:r>
        <w:t>Award one mark for each valid point, up to the stated maximum. Examples: identity; authority/appointment; access conditions or pass; recording.</w:t>
      </w:r>
    </w:p>
    <w:p>
      <w:pPr>
        <w:keepNext/>
      </w:pPr>
      <w:r>
        <w:rPr>
          <w:rFonts w:ascii="Calibri" w:hAnsi="Calibri"/>
          <w:b/>
          <w:color w:val="121B45"/>
        </w:rPr>
        <w:t>38. What should happen when consent to a search is withdrawn? Give three actions. [3]</w:t>
      </w:r>
    </w:p>
    <w:p>
      <w:pPr>
        <w:spacing w:after="140"/>
      </w:pPr>
      <w:r>
        <w:t>Award one mark for each valid point, up to the stated maximum. Examples: stop consent-based search; manage or deny access under policy; call supervisor; record event.</w:t>
      </w:r>
    </w:p>
    <w:p>
      <w:pPr>
        <w:keepNext/>
      </w:pPr>
      <w:r>
        <w:rPr>
          <w:rFonts w:ascii="Calibri" w:hAnsi="Calibri"/>
          <w:b/>
          <w:color w:val="121B45"/>
        </w:rPr>
        <w:t>39. List the six questions that structure a complete security record or report. [3]</w:t>
      </w:r>
    </w:p>
    <w:p>
      <w:pPr>
        <w:spacing w:after="140"/>
      </w:pPr>
      <w:r>
        <w:t>Award one mark for each valid point, up to the stated maximum. Examples: who; what; when; where; why; how.</w:t>
      </w:r>
    </w:p>
    <w:p>
      <w:pPr>
        <w:keepNext/>
      </w:pPr>
      <w:r>
        <w:rPr>
          <w:rFonts w:ascii="Calibri" w:hAnsi="Calibri"/>
          <w:b/>
          <w:color w:val="121B45"/>
        </w:rPr>
        <w:t>40. Differentiate internal and external threats and give one example of each. [3]</w:t>
      </w:r>
    </w:p>
    <w:p>
      <w:pPr>
        <w:spacing w:after="140"/>
      </w:pPr>
      <w:r>
        <w:t>Award one mark for each valid point, up to the stated maximum. Examples: internal definition/example; external definition/example; clear distinction.</w:t>
      </w:r>
    </w:p>
    <w:p>
      <w:pPr>
        <w:pStyle w:val="Heading2"/>
      </w:pPr>
      <w:r>
        <w:t>Section C scenario rubrics</w:t>
      </w:r>
    </w:p>
    <w:p>
      <w:pPr>
        <w:pStyle w:val="Heading3"/>
      </w:pPr>
      <w:r>
        <w:t>41. Suspicious object at reception [10]</w:t>
      </w:r>
    </w:p>
    <w:p>
      <w:pPr>
        <w:pStyle w:val="ListBullet"/>
        <w:spacing w:after="80" w:line="300" w:lineRule="auto"/>
        <w:ind w:left="540" w:hanging="271"/>
      </w:pPr>
      <w:r>
        <w:t>Does not touch, move, open or closely examine the object (2)</w:t>
      </w:r>
    </w:p>
    <w:p>
      <w:pPr>
        <w:pStyle w:val="ListBullet"/>
        <w:spacing w:after="80" w:line="300" w:lineRule="auto"/>
        <w:ind w:left="540" w:hanging="271"/>
      </w:pPr>
      <w:r>
        <w:t>Moves people away and controls access in line with the site emergency plan (2)</w:t>
      </w:r>
    </w:p>
    <w:p>
      <w:pPr>
        <w:pStyle w:val="ListBullet"/>
        <w:spacing w:after="80" w:line="300" w:lineRule="auto"/>
        <w:ind w:left="540" w:hanging="271"/>
      </w:pPr>
      <w:r>
        <w:t>Notifies control, supervisor and emergency services through approved channels (2)</w:t>
      </w:r>
    </w:p>
    <w:p>
      <w:pPr>
        <w:pStyle w:val="ListBullet"/>
        <w:spacing w:after="80" w:line="300" w:lineRule="auto"/>
        <w:ind w:left="540" w:hanging="271"/>
      </w:pPr>
      <w:r>
        <w:t>Communicates calmly and avoids unverified public statements (1)</w:t>
      </w:r>
    </w:p>
    <w:p>
      <w:pPr>
        <w:pStyle w:val="ListBullet"/>
        <w:spacing w:after="80" w:line="300" w:lineRule="auto"/>
        <w:ind w:left="540" w:hanging="271"/>
      </w:pPr>
      <w:r>
        <w:t>Records time, location, description, persons informed and actions taken from a safe position (2)</w:t>
      </w:r>
    </w:p>
    <w:p>
      <w:pPr>
        <w:pStyle w:val="ListBullet"/>
        <w:spacing w:after="80" w:line="300" w:lineRule="auto"/>
        <w:ind w:left="540" w:hanging="271"/>
      </w:pPr>
      <w:r>
        <w:t>Preserves access for emergency responders and follows instructions (1)</w:t>
      </w:r>
    </w:p>
    <w:p>
      <w:pPr>
        <w:pStyle w:val="Heading3"/>
      </w:pPr>
      <w:r>
        <w:t>42. Contractor without confirmed authority [10]</w:t>
      </w:r>
    </w:p>
    <w:p>
      <w:pPr>
        <w:pStyle w:val="ListBullet"/>
        <w:spacing w:after="80" w:line="300" w:lineRule="auto"/>
        <w:ind w:left="540" w:hanging="271"/>
      </w:pPr>
      <w:r>
        <w:t>Verifies identification but recognises that identity alone is not authority (2)</w:t>
      </w:r>
    </w:p>
    <w:p>
      <w:pPr>
        <w:pStyle w:val="ListBullet"/>
        <w:spacing w:after="80" w:line="300" w:lineRule="auto"/>
        <w:ind w:left="540" w:hanging="271"/>
      </w:pPr>
      <w:r>
        <w:t>Does not grant access until authority is confirmed (2)</w:t>
      </w:r>
    </w:p>
    <w:p>
      <w:pPr>
        <w:pStyle w:val="ListBullet"/>
        <w:spacing w:after="80" w:line="300" w:lineRule="auto"/>
        <w:ind w:left="540" w:hanging="271"/>
      </w:pPr>
      <w:r>
        <w:t>Explains the rule calmly and respectfully (1)</w:t>
      </w:r>
    </w:p>
    <w:p>
      <w:pPr>
        <w:pStyle w:val="ListBullet"/>
        <w:spacing w:after="80" w:line="300" w:lineRule="auto"/>
        <w:ind w:left="540" w:hanging="271"/>
      </w:pPr>
      <w:r>
        <w:t>Contacts the approved client representative or supervisor (2)</w:t>
      </w:r>
    </w:p>
    <w:p>
      <w:pPr>
        <w:pStyle w:val="ListBullet"/>
        <w:spacing w:after="80" w:line="300" w:lineRule="auto"/>
        <w:ind w:left="540" w:hanging="271"/>
      </w:pPr>
      <w:r>
        <w:t>Maintains safe positioning and seeks support if behaviour escalates (1)</w:t>
      </w:r>
    </w:p>
    <w:p>
      <w:pPr>
        <w:pStyle w:val="ListBullet"/>
        <w:spacing w:after="80" w:line="300" w:lineRule="auto"/>
        <w:ind w:left="540" w:hanging="271"/>
      </w:pPr>
      <w:r>
        <w:t>Records the attempt, decision, contacts and outcome (2)</w:t>
      </w:r>
    </w:p>
    <w:p>
      <w:pPr>
        <w:pStyle w:val="Heading3"/>
      </w:pPr>
      <w:r>
        <w:t>43. Consent withdrawn during a bag search [10]</w:t>
      </w:r>
    </w:p>
    <w:p>
      <w:pPr>
        <w:pStyle w:val="ListBullet"/>
        <w:spacing w:after="80" w:line="300" w:lineRule="auto"/>
        <w:ind w:left="540" w:hanging="271"/>
      </w:pPr>
      <w:r>
        <w:t>Stops the consent-based search (2)</w:t>
      </w:r>
    </w:p>
    <w:p>
      <w:pPr>
        <w:pStyle w:val="ListBullet"/>
        <w:spacing w:after="80" w:line="300" w:lineRule="auto"/>
        <w:ind w:left="540" w:hanging="271"/>
      </w:pPr>
      <w:r>
        <w:t>Protects the person’s dignity and avoids force or damage (1)</w:t>
      </w:r>
    </w:p>
    <w:p>
      <w:pPr>
        <w:pStyle w:val="ListBullet"/>
        <w:spacing w:after="80" w:line="300" w:lineRule="auto"/>
        <w:ind w:left="540" w:hanging="271"/>
      </w:pPr>
      <w:r>
        <w:t>Explains the access consequence under site policy (2)</w:t>
      </w:r>
    </w:p>
    <w:p>
      <w:pPr>
        <w:pStyle w:val="ListBullet"/>
        <w:spacing w:after="80" w:line="300" w:lineRule="auto"/>
        <w:ind w:left="540" w:hanging="271"/>
      </w:pPr>
      <w:r>
        <w:t>Calls a supervisor or authorised decision-maker (2)</w:t>
      </w:r>
    </w:p>
    <w:p>
      <w:pPr>
        <w:pStyle w:val="ListBullet"/>
        <w:spacing w:after="80" w:line="300" w:lineRule="auto"/>
        <w:ind w:left="540" w:hanging="271"/>
      </w:pPr>
      <w:r>
        <w:t>Keeps control of the access point without unlawful detention (1)</w:t>
      </w:r>
    </w:p>
    <w:p>
      <w:pPr>
        <w:pStyle w:val="ListBullet"/>
        <w:spacing w:after="80" w:line="300" w:lineRule="auto"/>
        <w:ind w:left="540" w:hanging="271"/>
      </w:pPr>
      <w:r>
        <w:t>Records the withdrawal, actions and outcome (2)</w:t>
      </w:r>
    </w:p>
    <w:p>
      <w:pPr>
        <w:pStyle w:val="Heading3"/>
      </w:pPr>
      <w:r>
        <w:t>44. Night patrol and incident reporting [10]</w:t>
      </w:r>
    </w:p>
    <w:p>
      <w:pPr>
        <w:pStyle w:val="ListBullet"/>
        <w:spacing w:after="80" w:line="300" w:lineRule="auto"/>
        <w:ind w:left="540" w:hanging="271"/>
      </w:pPr>
      <w:r>
        <w:t>Does not enter or disturb the possible scene unnecessarily (2)</w:t>
      </w:r>
    </w:p>
    <w:p>
      <w:pPr>
        <w:pStyle w:val="ListBullet"/>
        <w:spacing w:after="80" w:line="300" w:lineRule="auto"/>
        <w:ind w:left="540" w:hanging="271"/>
      </w:pPr>
      <w:r>
        <w:t>Moves to a safe position, requests assistance and notifies control/supervisor (2)</w:t>
      </w:r>
    </w:p>
    <w:p>
      <w:pPr>
        <w:pStyle w:val="ListBullet"/>
        <w:spacing w:after="80" w:line="300" w:lineRule="auto"/>
        <w:ind w:left="540" w:hanging="271"/>
      </w:pPr>
      <w:r>
        <w:t>Controls access and follows the site incident procedure (1)</w:t>
      </w:r>
    </w:p>
    <w:p>
      <w:pPr>
        <w:pStyle w:val="ListBullet"/>
        <w:spacing w:after="80" w:line="300" w:lineRule="auto"/>
        <w:ind w:left="540" w:hanging="271"/>
      </w:pPr>
      <w:r>
        <w:t>Observes and records objective facts, not conclusions (2)</w:t>
      </w:r>
    </w:p>
    <w:p>
      <w:pPr>
        <w:pStyle w:val="ListBullet"/>
        <w:spacing w:after="80" w:line="300" w:lineRule="auto"/>
        <w:ind w:left="540" w:hanging="271"/>
      </w:pPr>
      <w:r>
        <w:t>Includes time, location, door/lock/light condition, persons informed, actions and outcome (2)</w:t>
      </w:r>
    </w:p>
    <w:p>
      <w:pPr>
        <w:pStyle w:val="ListBullet"/>
        <w:spacing w:after="80" w:line="300" w:lineRule="auto"/>
        <w:ind w:left="540" w:hanging="271"/>
      </w:pPr>
      <w:r>
        <w:t>Preserves evidence and supports police or authorised follow-up (1)</w:t>
      </w:r>
    </w:p>
    <w:p>
      <w:r>
        <w:br w:type="page"/>
      </w:r>
    </w:p>
    <w:p>
      <w:pPr>
        <w:pStyle w:val="Heading1"/>
      </w:pPr>
      <w:r>
        <w:t>Assessment marking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00"/>
        <w:gridCol w:w="1800"/>
        <w:gridCol w:w="1800"/>
        <w:gridCol w:w="2160"/>
      </w:tblGrid>
      <w:tr>
        <w:trPr/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shd w:fill="121B45"/>
          </w:tcPr>
          <w:p>
            <w:r>
              <w:rPr>
                <w:rFonts w:ascii="Calibri" w:hAnsi="Calibri"/>
                <w:b/>
                <w:color w:val="FFFFFF"/>
              </w:rPr>
              <w:t>Component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shd w:fill="121B45"/>
          </w:tcPr>
          <w:p>
            <w:r>
              <w:rPr>
                <w:rFonts w:ascii="Calibri" w:hAnsi="Calibri"/>
                <w:b/>
                <w:color w:val="FFFFFF"/>
              </w:rPr>
              <w:t>Maximum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shd w:fill="121B45"/>
          </w:tcPr>
          <w:p>
            <w:r>
              <w:rPr>
                <w:rFonts w:ascii="Calibri" w:hAnsi="Calibri"/>
                <w:b/>
                <w:color w:val="FFFFFF"/>
              </w:rPr>
              <w:t>Learner mark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shd w:fill="121B45"/>
          </w:tcPr>
          <w:p>
            <w:r>
              <w:rPr>
                <w:rFonts w:ascii="Calibri" w:hAnsi="Calibri"/>
                <w:b/>
                <w:color w:val="FFFFFF"/>
              </w:rPr>
              <w:t>Assessor initials</w:t>
            </w:r>
          </w:p>
        </w:tc>
      </w:tr>
      <w:tr>
        <w:trPr/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r>
              <w:t>Section A: Multiple choice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r>
              <w:t>30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r/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r/>
          </w:p>
        </w:tc>
      </w:tr>
      <w:tr>
        <w:trPr/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r>
              <w:t>Section B: Short answers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r>
              <w:t>30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r/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r/>
          </w:p>
        </w:tc>
      </w:tr>
      <w:tr>
        <w:trPr/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r>
              <w:t>Section C: Applied scenarios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r>
              <w:t>40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r/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</w:tcPr>
          <w:p>
            <w:r/>
          </w:p>
        </w:tc>
      </w:tr>
      <w:tr>
        <w:trPr/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shd w:fill="F2F4F7"/>
          </w:tcPr>
          <w:p>
            <w:r>
              <w:rPr>
                <w:rFonts w:ascii="Calibri" w:hAnsi="Calibri"/>
                <w:b/>
                <w:color w:val="121B45"/>
              </w:rPr>
              <w:t>TOTAL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shd w:fill="F2F4F7"/>
          </w:tcPr>
          <w:p>
            <w:r>
              <w:rPr>
                <w:rFonts w:ascii="Calibri" w:hAnsi="Calibri"/>
                <w:b/>
                <w:color w:val="121B45"/>
              </w:rPr>
              <w:t>100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shd w:fill="F2F4F7"/>
          </w:tcPr>
          <w:p>
            <w:r>
              <w:rPr>
                <w:rFonts w:ascii="Calibri" w:hAnsi="Calibri"/>
                <w:b/>
                <w:color w:val="121B45"/>
              </w:rPr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shd w:fill="F2F4F7"/>
          </w:tcPr>
          <w:p>
            <w:r>
              <w:rPr>
                <w:rFonts w:ascii="Calibri" w:hAnsi="Calibri"/>
                <w:b/>
                <w:color w:val="121B45"/>
              </w:rPr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Provider-approved pass standard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Final result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Assessor feedback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Learner acknowledgement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Assessor signature and date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</w:tbl>
    <w:p>
      <w:pPr>
        <w:pStyle w:val="Heading1"/>
      </w:pPr>
      <w:r>
        <w:t>Moderation checklist</w:t>
      </w:r>
    </w:p>
    <w:p>
      <w:pPr>
        <w:pStyle w:val="ListBullet"/>
        <w:spacing w:after="80" w:line="300" w:lineRule="auto"/>
        <w:ind w:left="540" w:hanging="271"/>
      </w:pPr>
      <w:r>
        <w:t>Yes / No / N/A  -  Assessment conditions and learner identity were verified.</w:t>
      </w:r>
    </w:p>
    <w:p>
      <w:pPr>
        <w:pStyle w:val="ListBullet"/>
        <w:spacing w:after="80" w:line="300" w:lineRule="auto"/>
        <w:ind w:left="540" w:hanging="271"/>
      </w:pPr>
      <w:r>
        <w:t>Yes / No / N/A  -  All sections were marked against the approved memorandum.</w:t>
      </w:r>
    </w:p>
    <w:p>
      <w:pPr>
        <w:pStyle w:val="ListBullet"/>
        <w:spacing w:after="80" w:line="300" w:lineRule="auto"/>
        <w:ind w:left="540" w:hanging="271"/>
      </w:pPr>
      <w:r>
        <w:t>Yes / No / N/A  -  Alternative answers were accepted consistently and recorded.</w:t>
      </w:r>
    </w:p>
    <w:p>
      <w:pPr>
        <w:pStyle w:val="ListBullet"/>
        <w:spacing w:after="80" w:line="300" w:lineRule="auto"/>
        <w:ind w:left="540" w:hanging="271"/>
      </w:pPr>
      <w:r>
        <w:t>Yes / No / N/A  -  Marks were added and transferred accurately.</w:t>
      </w:r>
    </w:p>
    <w:p>
      <w:pPr>
        <w:pStyle w:val="ListBullet"/>
        <w:spacing w:after="80" w:line="300" w:lineRule="auto"/>
        <w:ind w:left="540" w:hanging="271"/>
      </w:pPr>
      <w:r>
        <w:t>Yes / No / N/A  -  Feedback and reassessment requirements were recorded.</w:t>
      </w:r>
    </w:p>
    <w:p>
      <w:pPr>
        <w:pStyle w:val="ListBullet"/>
        <w:spacing w:after="80" w:line="300" w:lineRule="auto"/>
        <w:ind w:left="540" w:hanging="271"/>
      </w:pPr>
      <w:r>
        <w:t>Yes / No / N/A  -  Assessment evidence is authentic, sufficient, valid and current for the provider’s process.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Moderator comments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Moderator name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Moderator signature and date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/>
        <w:color w:val="626B7F"/>
        <w:sz w:val="17"/>
      </w:rPr>
      <w:t xml:space="preserve">GRADE E, D &amp; C  |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D9DEE8"/>
      </w:pBdr>
    </w:pPr>
    <w:r>
      <w:rPr>
        <w:rFonts w:ascii="Calibri" w:hAnsi="Calibri"/>
        <w:b/>
        <w:color w:val="626B7F"/>
        <w:sz w:val="17"/>
      </w:rPr>
      <w:t>MUPO TRAINING CENTER  |  ASSESSOR MEMORANDUM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228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21B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F51B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21B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Mupo PSIRA Grade E, D &amp; C Assessor Memorandum</dc:title>
  <dc:subject>PSIRA Grade E, D &amp; C Security Training</dc:subject>
  <dc:creator>Mupo Training Center</dc:creator>
  <cp:keywords>security training, Grade E, Grade D, Grade C, learner, facilitator, assessment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