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3108960" cy="1038012"/>
            <wp:docPr id="1" name="Picture 1" descr="Mupo Training Center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3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652352"/>
            <wp:docPr id="2" name="Picture 2" descr="Mupo Security Training shield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5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</w:pPr>
      <w:r>
        <w:rPr>
          <w:rFonts w:ascii="Arial" w:hAnsi="Arial"/>
          <w:b/>
          <w:color w:val="F41F28"/>
          <w:sz w:val="23"/>
        </w:rPr>
        <w:t>NATIONAL KEY POINT SECURITY TRAINING</w:t>
      </w:r>
    </w:p>
    <w:p>
      <w:pPr>
        <w:pStyle w:val="Title"/>
        <w:jc w:val="center"/>
      </w:pPr>
      <w:r>
        <w:t>WRITTEN EXAMINATION PACK</w:t>
      </w:r>
    </w:p>
    <w:p>
      <w:pPr>
        <w:pStyle w:val="Subtitle"/>
        <w:jc w:val="center"/>
      </w:pPr>
      <w:r>
        <w:t>Explain the requirements for safeguarding a National Key Point</w:t>
      </w:r>
    </w:p>
    <w:p>
      <w:pPr>
        <w:spacing w:before="280" w:after="360"/>
        <w:jc w:val="center"/>
        <w:shd w:fill="141E46"/>
        <w:pBdr>
          <w:left w:val="single" w:sz="18" w:space="8" w:color="141E46"/>
        </w:pBdr>
      </w:pPr>
      <w:r>
        <w:rPr>
          <w:rFonts w:ascii="Arial" w:hAnsi="Arial"/>
          <w:b/>
          <w:color w:val="FFFFFF"/>
          <w:sz w:val="21"/>
        </w:rPr>
        <w:t>SAQA UNIT STANDARD 246693  |  NQF LEVEL 4  |  4 CREDITS</w:t>
      </w:r>
    </w:p>
    <w:p>
      <w:pPr>
        <w:spacing w:after="80"/>
        <w:jc w:val="center"/>
      </w:pPr>
      <w:r>
        <w:rPr>
          <w:rFonts w:ascii="Arial" w:hAnsi="Arial"/>
          <w:b/>
          <w:color w:val="5E6980"/>
          <w:sz w:val="18"/>
        </w:rPr>
        <w:t>Document code: MTC-NKP-EX-01  |  Version 1.0  |  19 August 2026</w:t>
      </w:r>
    </w:p>
    <w:p>
      <w:pPr>
        <w:spacing w:after="80"/>
        <w:jc w:val="center"/>
      </w:pPr>
      <w:r>
        <w:rPr>
          <w:rFonts w:ascii="Arial" w:hAnsi="Arial"/>
          <w:b w:val="0"/>
          <w:color w:val="5E6980"/>
          <w:sz w:val="18"/>
        </w:rPr>
        <w:t>Aligned to NKP Learner Guide - Advanced Blended Edition 4.1</w:t>
      </w:r>
    </w:p>
    <w:p>
      <w:pPr>
        <w:spacing w:after="80"/>
        <w:jc w:val="center"/>
      </w:pPr>
      <w:r>
        <w:rPr>
          <w:rFonts w:ascii="Arial" w:hAnsi="Arial"/>
          <w:b/>
          <w:color w:val="5E6980"/>
          <w:sz w:val="18"/>
        </w:rPr>
        <w:t>Learner copy - question paper and answer spaces</w:t>
      </w:r>
    </w:p>
    <w:p>
      <w:pPr>
        <w:spacing w:after="80"/>
        <w:jc w:val="center"/>
      </w:pPr>
      <w:r>
        <w:rPr>
          <w:rFonts w:ascii="Arial" w:hAnsi="Arial"/>
          <w:b w:val="0"/>
          <w:color w:val="5E6980"/>
          <w:sz w:val="18"/>
        </w:rPr>
        <w:t>377 Johannes Ramakhoase Street, Office 0005, Jardown 1</w:t>
      </w:r>
    </w:p>
    <w:p>
      <w:pPr>
        <w:spacing w:after="80"/>
        <w:jc w:val="center"/>
      </w:pPr>
      <w:r>
        <w:rPr>
          <w:rFonts w:ascii="Arial" w:hAnsi="Arial"/>
          <w:b w:val="0"/>
          <w:color w:val="5E6980"/>
          <w:sz w:val="18"/>
        </w:rPr>
        <w:t>+27 12 004 2004  |  WhatsApp +27 84 750 7013</w:t>
      </w:r>
    </w:p>
    <w:p>
      <w:pPr>
        <w:spacing w:after="80"/>
        <w:jc w:val="center"/>
      </w:pPr>
      <w:r>
        <w:rPr>
          <w:rFonts w:ascii="Arial" w:hAnsi="Arial"/>
          <w:b w:val="0"/>
          <w:color w:val="5E6980"/>
          <w:sz w:val="18"/>
        </w:rPr>
        <w:t>admin@mupotrainingcenter.co.za  |  www.mupotrainingcenter.co.za</w:t>
      </w:r>
    </w:p>
    <w:p>
      <w:r>
        <w:br w:type="page"/>
      </w:r>
    </w:p>
    <w:p>
      <w:pPr>
        <w:pStyle w:val="Heading1"/>
      </w:pPr>
      <w:r>
        <w:t>Candidate information and assessment instructions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D4DAE3"/>
          <w:left w:val="single" w:sz="6" w:color="D4DAE3"/>
          <w:bottom w:val="single" w:sz="6" w:color="D4DAE3"/>
          <w:right w:val="single" w:sz="6" w:color="D4DAE3"/>
          <w:insideH w:val="single" w:sz="6" w:color="D4DAE3"/>
          <w:insideV w:val="single" w:sz="6" w:color="D4DAE3"/>
        </w:tblBorders>
      </w:tblPr>
      <w:tblGrid>
        <w:gridCol w:w="2500"/>
        <w:gridCol w:w="6860"/>
      </w:tblGrid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Candidate full name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ID / learner number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Provider / venue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Assessment date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Assessor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Time allowed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150 minutes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Total marks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100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Working threshold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50% unless the provider-approved assessment plan specifies another threshold</w:t>
            </w:r>
          </w:p>
        </w:tc>
      </w:tr>
    </w:tbl>
    <w:p>
      <w:pPr>
        <w:spacing w:after="20"/>
      </w:pPr>
    </w:p>
    <w:p>
      <w:pPr>
        <w:spacing w:before="80" w:after="160"/>
        <w:shd w:fill="FDECEE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Controlled-use rule: </w:t>
      </w:r>
      <w:r>
        <w:rPr>
          <w:rFonts w:ascii="Arial" w:hAnsi="Arial"/>
          <w:color w:val="272D3A"/>
          <w:sz w:val="21"/>
        </w:rPr>
        <w:t>All scenarios are fictional. Do not insert real protected-site names, layouts, codes, vulnerabilities, response times, CCTV images or personal records into any answer.</w:t>
      </w:r>
    </w:p>
    <w:p>
      <w:pPr>
        <w:pStyle w:val="Heading2"/>
      </w:pPr>
      <w:r>
        <w:t>Instructions</w:t>
      </w:r>
    </w:p>
    <w:p>
      <w:pPr>
        <w:keepLines/>
        <w:numPr>
          <w:ilvl w:val="0"/>
          <w:numId w:val="10"/>
        </w:numPr>
      </w:pPr>
      <w:r>
        <w:t>Answer all questions. Read each instruction and mark allocation before responding.</w:t>
      </w:r>
    </w:p>
    <w:p>
      <w:pPr>
        <w:keepLines/>
        <w:numPr>
          <w:ilvl w:val="0"/>
          <w:numId w:val="10"/>
        </w:numPr>
      </w:pPr>
      <w:r>
        <w:t>Section A carries 20 marks, Section B carries 40 marks and Section C carries 40 marks.</w:t>
      </w:r>
    </w:p>
    <w:p>
      <w:pPr>
        <w:keepLines/>
        <w:numPr>
          <w:ilvl w:val="0"/>
          <w:numId w:val="10"/>
        </w:numPr>
      </w:pPr>
      <w:r>
        <w:t>Use current law, the approved security plan, post orders and authorised procedures. Do not invent powers for a security officer.</w:t>
      </w:r>
    </w:p>
    <w:p>
      <w:pPr>
        <w:keepLines/>
        <w:numPr>
          <w:ilvl w:val="0"/>
          <w:numId w:val="10"/>
        </w:numPr>
      </w:pPr>
      <w:r>
        <w:t>Where information is uncertain, explain the verification or escalation step rather than guessing.</w:t>
      </w:r>
    </w:p>
    <w:p>
      <w:pPr>
        <w:keepLines/>
        <w:numPr>
          <w:ilvl w:val="0"/>
          <w:numId w:val="10"/>
        </w:numPr>
      </w:pPr>
      <w:r>
        <w:t>Write objectively. Separate what was observed, what another person reported and any clearly labelled inference.</w:t>
      </w:r>
    </w:p>
    <w:p>
      <w:pPr>
        <w:keepLines/>
        <w:numPr>
          <w:ilvl w:val="0"/>
          <w:numId w:val="10"/>
        </w:numPr>
      </w:pPr>
      <w:r>
        <w:t>The provider must confirm whether the examination is closed-book, open-book or supervised online before issue.</w:t>
      </w:r>
    </w:p>
    <w:p>
      <w:pPr>
        <w:keepLines/>
        <w:numPr>
          <w:ilvl w:val="0"/>
          <w:numId w:val="10"/>
        </w:numPr>
      </w:pPr>
      <w:r>
        <w:t>Final competence requires the written result plus the practical evidence required by the approved assessment plan.</w:t>
      </w:r>
    </w:p>
    <w:p>
      <w:pPr>
        <w:pStyle w:val="Heading2"/>
      </w:pPr>
      <w:r>
        <w:t>Assessment structure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FDA"/>
          <w:left w:val="single" w:sz="6" w:color="C8CFDA"/>
          <w:bottom w:val="single" w:sz="6" w:color="C8CFDA"/>
          <w:right w:val="single" w:sz="6" w:color="C8CFDA"/>
          <w:insideH w:val="single" w:sz="6" w:color="C8CFDA"/>
          <w:insideV w:val="single" w:sz="6" w:color="C8CFDA"/>
        </w:tblBorders>
      </w:tblPr>
      <w:tblGrid>
        <w:gridCol w:w="1200"/>
        <w:gridCol w:w="6660"/>
        <w:gridCol w:w="1500"/>
      </w:tblGrid>
      <w:tr>
        <w:trPr>
          <w:tblHeader w:val="true"/>
        </w:trPr>
        <w:tc>
          <w:tcPr>
            <w:tcW w:type="dxa" w:w="120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66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method</w:t>
            </w:r>
          </w:p>
        </w:tc>
        <w:tc>
          <w:tcPr>
            <w:tcW w:type="dxa" w:w="150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Marks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20 multiple-choice knowledge questions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20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B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8 structured-response questions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40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C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2 integrated practical scenarios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40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Total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8"/>
              </w:rPr>
              <w:t>100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Section A: Multiple-choice questions</w:t>
      </w:r>
    </w:p>
    <w:p>
      <w:pPr>
        <w:spacing w:before="80" w:after="160"/>
        <w:shd w:fill="EDF2F7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Instruction: </w:t>
      </w:r>
      <w:r>
        <w:rPr>
          <w:rFonts w:ascii="Arial" w:hAnsi="Arial"/>
          <w:color w:val="272D3A"/>
          <w:sz w:val="21"/>
        </w:rPr>
        <w:t>Select the one best answer for each question. Record all answers on the Section A answer grid.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1. </w:t>
      </w:r>
      <w:r>
        <w:rPr>
          <w:rFonts w:ascii="Arial" w:hAnsi="Arial"/>
          <w:color w:val="272D3A"/>
          <w:sz w:val="21"/>
        </w:rPr>
        <w:t>When current law, a site instruction and historical training material appear inconsistent, what should an officer do?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Use the source that permits the fastest action.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Follow the historical training material because it was issued first.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Pause the disputed action and obtain an authorised interpretation.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Ask another learner to decide which source is correct.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2. </w:t>
      </w:r>
      <w:r>
        <w:rPr>
          <w:rFonts w:ascii="Arial" w:hAnsi="Arial"/>
          <w:color w:val="272D3A"/>
          <w:sz w:val="21"/>
        </w:rPr>
        <w:t>Which statement best describes the owner's safeguarding responsibility?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It ends when a private security contractor is appointed.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It includes governance, resources, assurance and corrective action even when services are contracted.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It is limited to signing the visitor register.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It may be transferred entirely to the most senior security officer on duty.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3. </w:t>
      </w:r>
      <w:r>
        <w:rPr>
          <w:rFonts w:ascii="Arial" w:hAnsi="Arial"/>
          <w:color w:val="272D3A"/>
          <w:sz w:val="21"/>
        </w:rPr>
        <w:t>Before acting on a claimed statutory instruction, the officer should first confirm: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only the name of the person who delivered it.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whether the instruction is convenient for the shift.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whether a colleague has heard a similar instruction before.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the issuer, legal authority or delegation, scope, effective date and conditions.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4. </w:t>
      </w:r>
      <w:r>
        <w:rPr>
          <w:rFonts w:ascii="Arial" w:hAnsi="Arial"/>
          <w:color w:val="272D3A"/>
          <w:sz w:val="21"/>
        </w:rPr>
        <w:t>Recruitment and screening information should be collected when it is: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lawful, relevant to the role and handled through an authorised process.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interesting to the interviewer even if it is unrelated to the role.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available on social media, regardless of accuracy.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requested by any employee who knows the applicant.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5. </w:t>
      </w:r>
      <w:r>
        <w:rPr>
          <w:rFonts w:ascii="Arial" w:hAnsi="Arial"/>
          <w:color w:val="272D3A"/>
          <w:sz w:val="21"/>
        </w:rPr>
        <w:t>A provisional appointment, where lawfully permitted, should include: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unrestricted deployment until screening is complete.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no written record because the appointment is temporary.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restricted duties, supervision, outstanding checks, training, a review date and authorised approval.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automatic permanent appointment after the first shift.   </w:t>
      </w:r>
    </w:p>
    <w:p>
      <w:r>
        <w:br w:type="page"/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6. </w:t>
      </w:r>
      <w:r>
        <w:rPr>
          <w:rFonts w:ascii="Arial" w:hAnsi="Arial"/>
          <w:color w:val="272D3A"/>
          <w:sz w:val="21"/>
        </w:rPr>
        <w:t>Which event should normally trigger refresher or remedial training?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A learner requests a new uniform size.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An incident or performance review identifies a competence gap.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The officer completes a routine shift without incident.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A visitor compliments the officer.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7. </w:t>
      </w:r>
      <w:r>
        <w:rPr>
          <w:rFonts w:ascii="Arial" w:hAnsi="Arial"/>
          <w:color w:val="272D3A"/>
          <w:sz w:val="21"/>
        </w:rPr>
        <w:t>A contractor presents valid identification but is absent from the authorised appointment list. The best initial response is to: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allow access because the identity document appears genuine.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ask another visitor to confirm the contractor.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confiscate the identity document.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keep access controlled and verify appointment and authority through an approved independent source.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8. </w:t>
      </w:r>
      <w:r>
        <w:rPr>
          <w:rFonts w:ascii="Arial" w:hAnsi="Arial"/>
          <w:color w:val="272D3A"/>
          <w:sz w:val="21"/>
        </w:rPr>
        <w:t>If consent is the only basis for a search and the person withdraws consent, the officer should: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stop the search unless a separate lawful authority clearly applies.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use force to complete the search.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continue because the search already started.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arrest the person automatically.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9. </w:t>
      </w:r>
      <w:r>
        <w:rPr>
          <w:rFonts w:ascii="Arial" w:hAnsi="Arial"/>
          <w:color w:val="272D3A"/>
          <w:sz w:val="21"/>
        </w:rPr>
        <w:t>A suspicious unattended article is found near an entrance. What is the safest response?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Move it to a less busy area.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Open it carefully to identify the owner.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Maintain distance, redirect people and notify the authorised control and emergency channels.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Photograph it at close range for the occurrence book.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10. </w:t>
      </w:r>
      <w:r>
        <w:rPr>
          <w:rFonts w:ascii="Arial" w:hAnsi="Arial"/>
          <w:color w:val="272D3A"/>
          <w:sz w:val="21"/>
        </w:rPr>
        <w:t>Which record is essential to an accountable evidence transfer?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Only the final storage location.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The giver, receiver, date, time, purpose, condition, seal or reference and destination.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A social-media photograph of the item.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The personal opinion of the person receiving it.   </w:t>
      </w:r>
    </w:p>
    <w:p>
      <w:r>
        <w:br w:type="page"/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11. </w:t>
      </w:r>
      <w:r>
        <w:rPr>
          <w:rFonts w:ascii="Arial" w:hAnsi="Arial"/>
          <w:color w:val="272D3A"/>
          <w:sz w:val="21"/>
        </w:rPr>
        <w:t>Before arresting a person, a security officer must identify: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a manager who is willing to approve any arrest.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a reason to question the person privately.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a convenient place to hold the person indefinitely.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a lawful arrest power and the facts supporting it, followed by prompt police handover.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12. </w:t>
      </w:r>
      <w:r>
        <w:rPr>
          <w:rFonts w:ascii="Arial" w:hAnsi="Arial"/>
          <w:color w:val="272D3A"/>
          <w:sz w:val="21"/>
        </w:rPr>
        <w:t>Use of force must be: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lawful, necessary and proportionate, and must stop when the need ends.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used whenever a person argues with an officer.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decided only after the incident report is written.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greater than the force used by the other person.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13. </w:t>
      </w:r>
      <w:r>
        <w:rPr>
          <w:rFonts w:ascii="Arial" w:hAnsi="Arial"/>
          <w:color w:val="272D3A"/>
          <w:sz w:val="21"/>
        </w:rPr>
        <w:t>The territorial limit means that: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an officer may exercise any site-related authority anywhere in South Africa.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site rules replace the general law outside the site.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special site-related authority does not automatically apply away from the protected site or legally defined vicinity.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an officer has no ordinary legal rights outside the site.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14. </w:t>
      </w:r>
      <w:r>
        <w:rPr>
          <w:rFonts w:ascii="Arial" w:hAnsi="Arial"/>
          <w:color w:val="272D3A"/>
          <w:sz w:val="21"/>
        </w:rPr>
        <w:t>Before disclosing protected information, the officer should: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send all available information so the recipient can choose what is useful.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confirm lawful purpose and authorised recipient, share the minimum necessary, use an approved channel and record the disclosure when required.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use a private messaging group because it is faster.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remove the date and then publish the information.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15. </w:t>
      </w:r>
      <w:r>
        <w:rPr>
          <w:rFonts w:ascii="Arial" w:hAnsi="Arial"/>
          <w:color w:val="272D3A"/>
          <w:sz w:val="21"/>
        </w:rPr>
        <w:t>When serious misconduct is alleged, the correct approach is to: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dismiss the employee immediately in every case.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ignore the operational risk until the hearing is completed.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publish the allegation so witnesses can respond.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control the immediate risk, preserve evidence and follow the authorised fair process without prejudging the outcome.   </w:t>
      </w:r>
    </w:p>
    <w:p>
      <w:r>
        <w:br w:type="page"/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16. </w:t>
      </w:r>
      <w:r>
        <w:rPr>
          <w:rFonts w:ascii="Arial" w:hAnsi="Arial"/>
          <w:color w:val="272D3A"/>
          <w:sz w:val="21"/>
        </w:rPr>
        <w:t>An objective occurrence-book entry should contain: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facts, attributed information, decisions, times, notifications and transparent corrections.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labels such as 'criminal' whenever access is refused.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only the final outcome.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unverified rumours if they appear important.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17. </w:t>
      </w:r>
      <w:r>
        <w:rPr>
          <w:rFonts w:ascii="Arial" w:hAnsi="Arial"/>
          <w:color w:val="272D3A"/>
          <w:sz w:val="21"/>
        </w:rPr>
        <w:t>A caller claiming to be technical support asks for alarm identifiers and temporary disabling of a protective function. The officer should: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provide the information if the caller sounds confident.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disable the function and verify the caller afterwards.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refuse disclosure or alteration, verify through an independent approved contact and use the authorised change process.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transfer the call to another officer without reporting it.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18. </w:t>
      </w:r>
      <w:r>
        <w:rPr>
          <w:rFonts w:ascii="Arial" w:hAnsi="Arial"/>
          <w:color w:val="272D3A"/>
          <w:sz w:val="21"/>
        </w:rPr>
        <w:t>An unidentified drone is repeatedly observed near a generic site boundary. The officer should: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attempt to disable it with available equipment.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observe safely, report objective details, protect operational information and follow authorised procedure.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post a photograph online to locate the operator.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leave the assigned area to chase it.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19. </w:t>
      </w:r>
      <w:r>
        <w:rPr>
          <w:rFonts w:ascii="Arial" w:hAnsi="Arial"/>
          <w:color w:val="272D3A"/>
          <w:sz w:val="21"/>
        </w:rPr>
        <w:t>Flooding makes the normal evacuation route unsafe. The officer should: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continue using the route because it appears on the old plan.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create an unapproved shortcut through a restricted area.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wait for people to discover the hazard themselves.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block the unsafe route, direct people to an approved alternative and report the change to control.   </w:t>
      </w:r>
    </w:p>
    <w:p>
      <w:pPr>
        <w:keepNext/>
        <w:spacing w:before="120" w:after="40"/>
      </w:pPr>
      <w:r>
        <w:rPr>
          <w:rFonts w:ascii="Arial" w:hAnsi="Arial"/>
          <w:b/>
          <w:color w:val="141E46"/>
          <w:sz w:val="21"/>
        </w:rPr>
        <w:t xml:space="preserve">20. </w:t>
      </w:r>
      <w:r>
        <w:rPr>
          <w:rFonts w:ascii="Arial" w:hAnsi="Arial"/>
          <w:color w:val="272D3A"/>
          <w:sz w:val="21"/>
        </w:rPr>
        <w:t>A CCTV clip is shared in an unauthorised messaging group. The receiving officer should:</w:t>
      </w:r>
    </w:p>
    <w:p>
      <w:pPr>
        <w:keepLines/>
        <w:spacing w:after="100"/>
        <w:ind w:left="317"/>
      </w:pPr>
      <w:r>
        <w:rPr>
          <w:rFonts w:ascii="Arial" w:hAnsi="Arial"/>
          <w:b/>
          <w:color w:val="272D3A"/>
          <w:sz w:val="18"/>
        </w:rPr>
        <w:t xml:space="preserve">A. </w:t>
      </w:r>
      <w:r>
        <w:rPr>
          <w:rFonts w:ascii="Arial" w:hAnsi="Arial"/>
          <w:color w:val="272D3A"/>
          <w:sz w:val="18"/>
        </w:rPr>
        <w:t xml:space="preserve">stop further circulation, report receipt confidentially and have the authorised custodian preserve the original recording and audit trail.   </w:t>
      </w:r>
      <w:r>
        <w:rPr>
          <w:rFonts w:ascii="Arial" w:hAnsi="Arial"/>
          <w:b/>
          <w:color w:val="272D3A"/>
          <w:sz w:val="18"/>
        </w:rPr>
        <w:t xml:space="preserve">B. </w:t>
      </w:r>
      <w:r>
        <w:rPr>
          <w:rFonts w:ascii="Arial" w:hAnsi="Arial"/>
          <w:color w:val="272D3A"/>
          <w:sz w:val="18"/>
        </w:rPr>
        <w:t xml:space="preserve">forward it only to trusted friends.   </w:t>
      </w:r>
      <w:r>
        <w:rPr>
          <w:rFonts w:ascii="Arial" w:hAnsi="Arial"/>
          <w:b/>
          <w:color w:val="272D3A"/>
          <w:sz w:val="18"/>
        </w:rPr>
        <w:t xml:space="preserve">C. </w:t>
      </w:r>
      <w:r>
        <w:rPr>
          <w:rFonts w:ascii="Arial" w:hAnsi="Arial"/>
          <w:color w:val="272D3A"/>
          <w:sz w:val="18"/>
        </w:rPr>
        <w:t xml:space="preserve">edit the clip to make the person easier to identify.   </w:t>
      </w:r>
      <w:r>
        <w:rPr>
          <w:rFonts w:ascii="Arial" w:hAnsi="Arial"/>
          <w:b/>
          <w:color w:val="272D3A"/>
          <w:sz w:val="18"/>
        </w:rPr>
        <w:t xml:space="preserve">D. </w:t>
      </w:r>
      <w:r>
        <w:rPr>
          <w:rFonts w:ascii="Arial" w:hAnsi="Arial"/>
          <w:color w:val="272D3A"/>
          <w:sz w:val="18"/>
        </w:rPr>
        <w:t xml:space="preserve">delete every trace before reporting it.   </w:t>
      </w:r>
    </w:p>
    <w:p>
      <w:pPr>
        <w:pStyle w:val="Heading2"/>
      </w:pPr>
      <w:r>
        <w:t>Section A answer grid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FDA"/>
          <w:left w:val="single" w:sz="6" w:color="C8CFDA"/>
          <w:bottom w:val="single" w:sz="6" w:color="C8CFDA"/>
          <w:right w:val="single" w:sz="6" w:color="C8CFDA"/>
          <w:insideH w:val="single" w:sz="6" w:color="C8CFDA"/>
          <w:insideV w:val="single" w:sz="6" w:color="C8CFDA"/>
        </w:tblBorders>
      </w:tblPr>
      <w:tblGrid>
        <w:gridCol w:w="1400"/>
        <w:gridCol w:w="3280"/>
        <w:gridCol w:w="1400"/>
        <w:gridCol w:w="3280"/>
      </w:tblGrid>
      <w:tr>
        <w:trPr>
          <w:tblHeader w:val="true"/>
        </w:trPr>
        <w:tc>
          <w:tcPr>
            <w:tcW w:type="dxa" w:w="140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28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140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28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11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2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12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3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13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4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14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5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15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6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16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7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17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8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18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9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19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10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  <w:t>20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20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Section B: Structured-response questions</w:t>
      </w:r>
    </w:p>
    <w:p>
      <w:pPr>
        <w:spacing w:before="80" w:after="160"/>
        <w:shd w:fill="EDF2F7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Instruction: </w:t>
      </w:r>
      <w:r>
        <w:rPr>
          <w:rFonts w:ascii="Arial" w:hAnsi="Arial"/>
          <w:color w:val="272D3A"/>
          <w:sz w:val="21"/>
        </w:rPr>
        <w:t>Answer in clear points or short paragraphs. A correct decision must include the authority, safety, communication, escalation and record controls where relevant.</w:t>
      </w:r>
    </w:p>
    <w:p>
      <w:pPr>
        <w:keepNext/>
        <w:spacing w:before="140" w:after="80"/>
      </w:pPr>
      <w:r>
        <w:rPr>
          <w:rFonts w:ascii="Arial" w:hAnsi="Arial"/>
          <w:b/>
          <w:color w:val="141E46"/>
          <w:sz w:val="22"/>
        </w:rPr>
        <w:t>Question 21 [6 marks]</w:t>
      </w:r>
      <w:r>
        <w:rPr>
          <w:rFonts w:ascii="Arial" w:hAnsi="Arial"/>
          <w:color w:val="272D3A"/>
          <w:sz w:val="21"/>
        </w:rPr>
        <w:t xml:space="preserve">  Differentiate the functions of the Minister or delegated authority from the responsibilities of the owner or person in control. Give three points for each role.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Type or write your answer here.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/>
          <w:b/>
          <w:color w:val="141E46"/>
          <w:sz w:val="22"/>
        </w:rPr>
        <w:t>Question 22 [5 marks]</w:t>
      </w:r>
      <w:r>
        <w:rPr>
          <w:rFonts w:ascii="Arial" w:hAnsi="Arial"/>
          <w:color w:val="272D3A"/>
          <w:sz w:val="21"/>
        </w:rPr>
        <w:t xml:space="preserve">  List five records that demonstrate that the owner is maintaining an effective safeguarding system.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Type or write your answer here.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/>
          <w:b/>
          <w:color w:val="141E46"/>
          <w:sz w:val="22"/>
        </w:rPr>
        <w:t>Question 23 [5 marks]</w:t>
      </w:r>
      <w:r>
        <w:rPr>
          <w:rFonts w:ascii="Arial" w:hAnsi="Arial"/>
          <w:color w:val="272D3A"/>
          <w:sz w:val="21"/>
        </w:rPr>
        <w:t xml:space="preserve">  State five controls required before a person may be deployed under a lawful provisional appointment.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Type or write your answer here.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40" w:after="80"/>
      </w:pPr>
      <w:r>
        <w:rPr>
          <w:rFonts w:ascii="Arial" w:hAnsi="Arial"/>
          <w:b/>
          <w:color w:val="141E46"/>
          <w:sz w:val="22"/>
        </w:rPr>
        <w:t>Question 24 [6 marks]</w:t>
      </w:r>
      <w:r>
        <w:rPr>
          <w:rFonts w:ascii="Arial" w:hAnsi="Arial"/>
          <w:color w:val="272D3A"/>
          <w:sz w:val="21"/>
        </w:rPr>
        <w:t xml:space="preserve">  Describe the safe decision sequence when an unidentified or unauthorised person requests entry.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Type or write your answer here.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/>
          <w:b/>
          <w:color w:val="141E46"/>
          <w:sz w:val="22"/>
        </w:rPr>
        <w:t>Question 25 [4 marks]</w:t>
      </w:r>
      <w:r>
        <w:rPr>
          <w:rFonts w:ascii="Arial" w:hAnsi="Arial"/>
          <w:color w:val="272D3A"/>
          <w:sz w:val="21"/>
        </w:rPr>
        <w:t xml:space="preserve">  Explain what an officer must do when consent is withdrawn during a consent-based search.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Type or write your answer here.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/>
          <w:b/>
          <w:color w:val="141E46"/>
          <w:sz w:val="22"/>
        </w:rPr>
        <w:t>Question 26 [5 marks]</w:t>
      </w:r>
      <w:r>
        <w:rPr>
          <w:rFonts w:ascii="Arial" w:hAnsi="Arial"/>
          <w:color w:val="272D3A"/>
          <w:sz w:val="21"/>
        </w:rPr>
        <w:t xml:space="preserve">  Explain five actions that protect the integrity and chain of custody of possible evidence.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Type or write your answer here.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40" w:after="80"/>
      </w:pPr>
      <w:r>
        <w:rPr>
          <w:rFonts w:ascii="Arial" w:hAnsi="Arial"/>
          <w:b/>
          <w:color w:val="141E46"/>
          <w:sz w:val="22"/>
        </w:rPr>
        <w:t>Question 27 [4 marks]</w:t>
      </w:r>
      <w:r>
        <w:rPr>
          <w:rFonts w:ascii="Arial" w:hAnsi="Arial"/>
          <w:color w:val="272D3A"/>
          <w:sz w:val="21"/>
        </w:rPr>
        <w:t xml:space="preserve">  Explain why the same conduct can be both workplace misconduct and a criminal offence, and why the employment outcome must not be prejudged.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Type or write your answer here.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Arial" w:hAnsi="Arial"/>
          <w:b/>
          <w:color w:val="141E46"/>
          <w:sz w:val="22"/>
        </w:rPr>
        <w:t>Question 28 [5 marks]</w:t>
      </w:r>
      <w:r>
        <w:rPr>
          <w:rFonts w:ascii="Arial" w:hAnsi="Arial"/>
          <w:color w:val="272D3A"/>
          <w:sz w:val="21"/>
        </w:rPr>
        <w:t xml:space="preserve">  List the five questions in the authorised-disclosure test used before protected information is shared.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Type or write your answer here.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Section C: Integrated scenarios</w:t>
      </w:r>
    </w:p>
    <w:p>
      <w:pPr>
        <w:spacing w:before="80" w:after="160"/>
        <w:shd w:fill="EDF2F7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Instruction: </w:t>
      </w:r>
      <w:r>
        <w:rPr>
          <w:rFonts w:ascii="Arial" w:hAnsi="Arial"/>
          <w:color w:val="272D3A"/>
          <w:sz w:val="21"/>
        </w:rPr>
        <w:t>Apply the six-part decision model: authority - limits - safety - communication - escalation - record. Do not add facts that are not in the scenario.</w:t>
      </w:r>
    </w:p>
    <w:p>
      <w:pPr>
        <w:pStyle w:val="Heading2"/>
      </w:pPr>
      <w:r>
        <w:t>Question 29: Lost credential, attempted tailgating and escalating behaviour [20 marks]</w:t>
      </w:r>
    </w:p>
    <w:p>
      <w:pPr>
        <w:spacing w:before="80" w:after="160"/>
        <w:shd w:fill="EDF2F7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Situation: </w:t>
      </w:r>
      <w:r>
        <w:rPr>
          <w:rFonts w:ascii="Arial" w:hAnsi="Arial"/>
          <w:color w:val="272D3A"/>
          <w:sz w:val="21"/>
        </w:rPr>
        <w:t>An employee reports a lost access card. Ten minutes later, a person wearing the same department's uniform asks a colleague to hold a controlled door open. The person says an urgent meeting has started, cannot produce another credential and becomes verbally aggressive when the officer keeps the door controlled.</w:t>
      </w:r>
    </w:p>
    <w:p>
      <w:pPr>
        <w:keepNext/>
        <w:spacing w:before="100" w:after="60"/>
      </w:pPr>
      <w:r>
        <w:rPr>
          <w:rFonts w:ascii="Arial" w:hAnsi="Arial"/>
          <w:b/>
          <w:color w:val="141E46"/>
          <w:sz w:val="20"/>
        </w:rPr>
        <w:t xml:space="preserve">a) [5] </w:t>
      </w:r>
      <w:r>
        <w:rPr>
          <w:rFonts w:ascii="Arial" w:hAnsi="Arial"/>
          <w:color w:val="272D3A"/>
          <w:sz w:val="20"/>
        </w:rPr>
        <w:t>State five immediate access-control and safety actions.</w:t>
      </w:r>
    </w:p>
    <w:p>
      <w:pPr>
        <w:keepNext/>
        <w:spacing w:before="100" w:after="60"/>
      </w:pPr>
      <w:r>
        <w:rPr>
          <w:rFonts w:ascii="Arial" w:hAnsi="Arial"/>
          <w:b/>
          <w:color w:val="141E46"/>
          <w:sz w:val="20"/>
        </w:rPr>
        <w:t xml:space="preserve">b) [4] </w:t>
      </w:r>
      <w:r>
        <w:rPr>
          <w:rFonts w:ascii="Arial" w:hAnsi="Arial"/>
          <w:color w:val="272D3A"/>
          <w:sz w:val="20"/>
        </w:rPr>
        <w:t>Give four elements of a calm, dignity-based communication response.</w:t>
      </w:r>
    </w:p>
    <w:p>
      <w:pPr>
        <w:keepNext/>
        <w:spacing w:before="100" w:after="60"/>
      </w:pPr>
      <w:r>
        <w:rPr>
          <w:rFonts w:ascii="Arial" w:hAnsi="Arial"/>
          <w:b/>
          <w:color w:val="141E46"/>
          <w:sz w:val="20"/>
        </w:rPr>
        <w:t xml:space="preserve">c) [5] </w:t>
      </w:r>
      <w:r>
        <w:rPr>
          <w:rFonts w:ascii="Arial" w:hAnsi="Arial"/>
          <w:color w:val="272D3A"/>
          <w:sz w:val="20"/>
        </w:rPr>
        <w:t>List five records or system logs that must be created or preserved.</w:t>
      </w:r>
    </w:p>
    <w:p>
      <w:pPr>
        <w:keepNext/>
        <w:spacing w:before="100" w:after="60"/>
      </w:pPr>
      <w:r>
        <w:rPr>
          <w:rFonts w:ascii="Arial" w:hAnsi="Arial"/>
          <w:b/>
          <w:color w:val="141E46"/>
          <w:sz w:val="20"/>
        </w:rPr>
        <w:t xml:space="preserve">d) [6] </w:t>
      </w:r>
      <w:r>
        <w:rPr>
          <w:rFonts w:ascii="Arial" w:hAnsi="Arial"/>
          <w:color w:val="272D3A"/>
          <w:sz w:val="20"/>
        </w:rPr>
        <w:t>Explain three authority limits or escalation triggers and the correct response to each.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42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Write your integrated response here. Use headings (a)-(d).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Question 30: System fault, social engineering and protected information [20 marks]</w:t>
      </w:r>
    </w:p>
    <w:p>
      <w:pPr>
        <w:spacing w:before="80" w:after="160"/>
        <w:shd w:fill="EDF2F7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Situation: </w:t>
      </w:r>
      <w:r>
        <w:rPr>
          <w:rFonts w:ascii="Arial" w:hAnsi="Arial"/>
          <w:color w:val="272D3A"/>
          <w:sz w:val="21"/>
        </w:rPr>
        <w:t>During an access-control system fault, a caller claims to be emergency technical support. The caller asks for controller details and temporary disabling of an alarm. At the same time, a colleague sends a CCTV clip of the fault area to a private messaging group and says it may help technicians.</w:t>
      </w:r>
    </w:p>
    <w:p>
      <w:pPr>
        <w:keepNext/>
        <w:spacing w:before="100" w:after="60"/>
      </w:pPr>
      <w:r>
        <w:rPr>
          <w:rFonts w:ascii="Arial" w:hAnsi="Arial"/>
          <w:b/>
          <w:color w:val="141E46"/>
          <w:sz w:val="20"/>
        </w:rPr>
        <w:t xml:space="preserve">a) [6] </w:t>
      </w:r>
      <w:r>
        <w:rPr>
          <w:rFonts w:ascii="Arial" w:hAnsi="Arial"/>
          <w:color w:val="272D3A"/>
          <w:sz w:val="20"/>
        </w:rPr>
        <w:t>Describe six immediate actions that address the caller and the requested system change.</w:t>
      </w:r>
    </w:p>
    <w:p>
      <w:pPr>
        <w:keepNext/>
        <w:spacing w:before="100" w:after="60"/>
      </w:pPr>
      <w:r>
        <w:rPr>
          <w:rFonts w:ascii="Arial" w:hAnsi="Arial"/>
          <w:b/>
          <w:color w:val="141E46"/>
          <w:sz w:val="20"/>
        </w:rPr>
        <w:t xml:space="preserve">b) [4] </w:t>
      </w:r>
      <w:r>
        <w:rPr>
          <w:rFonts w:ascii="Arial" w:hAnsi="Arial"/>
          <w:color w:val="272D3A"/>
          <w:sz w:val="20"/>
        </w:rPr>
        <w:t>State four continuity measures that maintain safety and access control during the fault.</w:t>
      </w:r>
    </w:p>
    <w:p>
      <w:pPr>
        <w:keepNext/>
        <w:spacing w:before="100" w:after="60"/>
      </w:pPr>
      <w:r>
        <w:rPr>
          <w:rFonts w:ascii="Arial" w:hAnsi="Arial"/>
          <w:b/>
          <w:color w:val="141E46"/>
          <w:sz w:val="20"/>
        </w:rPr>
        <w:t xml:space="preserve">c) [6] </w:t>
      </w:r>
      <w:r>
        <w:rPr>
          <w:rFonts w:ascii="Arial" w:hAnsi="Arial"/>
          <w:color w:val="272D3A"/>
          <w:sz w:val="20"/>
        </w:rPr>
        <w:t>Explain six information-protection and evidence-preservation actions relating to the call and CCTV clip.</w:t>
      </w:r>
    </w:p>
    <w:p>
      <w:pPr>
        <w:keepNext/>
        <w:spacing w:before="100" w:after="60"/>
      </w:pPr>
      <w:r>
        <w:rPr>
          <w:rFonts w:ascii="Arial" w:hAnsi="Arial"/>
          <w:b/>
          <w:color w:val="141E46"/>
          <w:sz w:val="20"/>
        </w:rPr>
        <w:t xml:space="preserve">d) [4] </w:t>
      </w:r>
      <w:r>
        <w:rPr>
          <w:rFonts w:ascii="Arial" w:hAnsi="Arial"/>
          <w:color w:val="272D3A"/>
          <w:sz w:val="20"/>
        </w:rPr>
        <w:t>Identify four limits on the security officer's authority in this incident.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AEB7C5"/>
          <w:left w:val="single" w:sz="6" w:color="AEB7C5"/>
          <w:bottom w:val="single" w:sz="6" w:color="AEB7C5"/>
          <w:right w:val="single" w:sz="6" w:color="AEB7C5"/>
          <w:insideH w:val="single" w:sz="6" w:color="AEB7C5"/>
          <w:insideV w:val="single" w:sz="6" w:color="AEB7C5"/>
        </w:tblBorders>
      </w:tblPr>
      <w:tblGrid>
        <w:gridCol w:w="9360"/>
      </w:tblGrid>
      <w:tr>
        <w:trPr>
          <w:trHeight w:val="4200" w:hRule="atLeast"/>
        </w:trPr>
        <w:tc>
          <w:tcPr>
            <w:tcW w:type="dxa" w:w="9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5E6980"/>
                <w:sz w:val="18"/>
              </w:rPr>
              <w:t>Write your integrated response here. Use headings (a)-(d).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Candidate declaration and assessor record</w:t>
      </w:r>
    </w:p>
    <w:p>
      <w:pPr>
        <w:spacing w:before="80" w:after="160"/>
        <w:shd w:fill="FFF7E5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Candidate declaration: </w:t>
      </w:r>
      <w:r>
        <w:rPr>
          <w:rFonts w:ascii="Arial" w:hAnsi="Arial"/>
          <w:color w:val="272D3A"/>
          <w:sz w:val="21"/>
        </w:rPr>
        <w:t>I confirm that this submission is my own work and that I have not included real protected-site information, personal records or unauthorised operational details.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D4DAE3"/>
          <w:left w:val="single" w:sz="6" w:color="D4DAE3"/>
          <w:bottom w:val="single" w:sz="6" w:color="D4DAE3"/>
          <w:right w:val="single" w:sz="6" w:color="D4DAE3"/>
          <w:insideH w:val="single" w:sz="6" w:color="D4DAE3"/>
          <w:insideV w:val="single" w:sz="6" w:color="D4DAE3"/>
        </w:tblBorders>
      </w:tblPr>
      <w:tblGrid>
        <w:gridCol w:w="2500"/>
        <w:gridCol w:w="6860"/>
      </w:tblGrid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Candidate signature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Date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Section 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____ / 20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Section B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____ / 40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Section C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____ / 40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Total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____ / 100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Written result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Competent / Not Yet Competent / Further evidence required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Practical evidence reference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Assessor name and signature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Moderation reference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</w:tbl>
    <w:p>
      <w:pPr>
        <w:spacing w:after="20"/>
      </w:pPr>
    </w:p>
    <w:p>
      <w:pPr>
        <w:spacing w:before="80" w:after="160"/>
        <w:shd w:fill="FDECEE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Publication status: </w:t>
      </w:r>
      <w:r>
        <w:rPr>
          <w:rFonts w:ascii="Arial" w:hAnsi="Arial"/>
          <w:color w:val="272D3A"/>
          <w:sz w:val="21"/>
        </w:rPr>
        <w:t>This assessment pack is a controlled training draft. A qualified subject-matter expert, registered or authorised assessor and moderator must approve it within the provider's current quality-assurance system before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5E6980"/>
        <w:sz w:val="17"/>
      </w:rPr>
      <w:t xml:space="preserve">MTC-NKP-EX-01  |  </w:t>
    </w:r>
    <w:r>
      <w:rPr>
        <w:rFonts w:ascii="Arial" w:hAnsi="Arial"/>
        <w:b/>
        <w:color w:val="5E6980"/>
        <w:sz w:val="17"/>
      </w:rPr>
      <w:t xml:space="preserve">Page </w:t>
    </w:r>
    <w:r>
      <w:rPr>
        <w:rFonts w:ascii="Arial" w:hAnsi="Arial"/>
        <w:b/>
        <w:color w:val="5E698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E6980"/>
        <w:sz w:val="17"/>
      </w:rPr>
      <w:t>MUPO TRAINING CENTER  |  WRITTEN EXAMINATION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72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41E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F41F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41E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1E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/>
      <w:b w:val="0"/>
      <w:i/>
      <w:iCs/>
      <w:color w:val="5E69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Mupo NKP Written Examination Pack - Version 1.0</dc:title>
  <dc:subject/>
  <dc:creator>Mupo Training Center</dc:creator>
  <cp:keywords>National Key Point, Unit Standard 246693, assessment, blended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