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Local SOP: CDU Overhead Corrosion Monitoring</w:t>
      </w:r>
    </w:p>
    <w:p>
      <w:pPr>
        <w:jc w:val="center"/>
      </w:pPr>
      <w:r>
        <w:rPr>
          <w:b/>
          <w:sz w:val="20"/>
        </w:rPr>
        <w:t>SYNTHETIC DEMO DATA - NOT AN OPERATING PROCEDURE</w:t>
      </w:r>
    </w:p>
    <w:p>
      <w:r>
        <w:t>Facility: Kavach Demonstration Refinery | Unit: Crude Distillation Unit (CDU)</w:t>
      </w:r>
    </w:p>
    <w:p>
      <w:pPr>
        <w:pStyle w:val="Heading1"/>
      </w:pPr>
      <w:r>
        <w:t>1. Purpose</w:t>
      </w:r>
    </w:p>
    <w:p>
      <w:pPr>
        <w:pStyle w:val="ListBullet"/>
      </w:pPr>
      <w:r>
        <w:t>Provide a demonstration knowledge source for reviewing corrosion observations in a crude distillation unit overhead system.</w:t>
      </w:r>
    </w:p>
    <w:p>
      <w:pPr>
        <w:pStyle w:val="Heading1"/>
      </w:pPr>
      <w:r>
        <w:t>2. Roles</w:t>
      </w:r>
    </w:p>
    <w:p>
      <w:pPr>
        <w:pStyle w:val="ListBullet"/>
      </w:pPr>
      <w:r>
        <w:t>Panel operator: monitor overhead temperature, pH, and chloride trend.</w:t>
      </w:r>
    </w:p>
    <w:p>
      <w:pPr>
        <w:pStyle w:val="ListBullet"/>
      </w:pPr>
      <w:r>
        <w:t>Field operator: collect samples and verify chemical injection equipment.</w:t>
      </w:r>
    </w:p>
    <w:p>
      <w:pPr>
        <w:pStyle w:val="ListBullet"/>
      </w:pPr>
      <w:r>
        <w:t>Inspection engineer: complete visual checks and ultrasonic thickness follow-up.</w:t>
      </w:r>
    </w:p>
    <w:p>
      <w:pPr>
        <w:pStyle w:val="Heading1"/>
      </w:pPr>
      <w:r>
        <w:t>3. Operating controls</w:t>
      </w:r>
    </w:p>
    <w:p>
      <w:pPr>
        <w:pStyle w:val="ListBullet"/>
      </w:pPr>
      <w:r>
        <w:t>Maintain wash-water injection at 5-7 percent of crude feed rate.</w:t>
      </w:r>
    </w:p>
    <w:p>
      <w:pPr>
        <w:pStyle w:val="ListBullet"/>
      </w:pPr>
      <w:r>
        <w:t>When sour-water chloride exceeds 50 ppm, increase wash-water injection by 10 percent and record the adjustment.</w:t>
      </w:r>
    </w:p>
    <w:p>
      <w:pPr>
        <w:pStyle w:val="ListBullet"/>
      </w:pPr>
      <w:r>
        <w:t>Maintain overhead accumulator boot-water pH between 5.5 and 6.5 through neutralizing-amine adjustment.</w:t>
      </w:r>
    </w:p>
    <w:p>
      <w:pPr>
        <w:pStyle w:val="ListBullet"/>
      </w:pPr>
      <w:r>
        <w:t>Maintain filming-amine dosage according to the approved chemical programme.</w:t>
      </w:r>
    </w:p>
    <w:p>
      <w:pPr>
        <w:pStyle w:val="Heading1"/>
      </w:pPr>
      <w:r>
        <w:t>4. Inspection response</w:t>
      </w:r>
    </w:p>
    <w:p>
      <w:pPr>
        <w:pStyle w:val="ListBullet"/>
      </w:pPr>
      <w:r>
        <w:t>For localized pitting near a nozzle, schedule focused ultrasonic testing within 90 days.</w:t>
      </w:r>
    </w:p>
    <w:p>
      <w:pPr>
        <w:pStyle w:val="ListBullet"/>
      </w:pPr>
      <w:r>
        <w:t>For chloride-attack indicators, review the chloride trend and wash-water rate with Operations before the next integrity review.</w:t>
      </w:r>
    </w:p>
    <w:p>
      <w:pPr>
        <w:pStyle w:val="ListBullet"/>
      </w:pPr>
      <w:r>
        <w:t>Attach photographs and thickness readings to the integrity review pack.</w:t>
      </w:r>
    </w:p>
    <w:p>
      <w:pPr>
        <w:pStyle w:val="Heading1"/>
      </w:pPr>
      <w:r>
        <w:t>5. Escalation</w:t>
      </w:r>
    </w:p>
    <w:p>
      <w:pPr>
        <w:pStyle w:val="ListBullet"/>
      </w:pPr>
      <w:r>
        <w:t>If overhead pH falls below 4.0, notify the shift supervisor and apply the approved emergency response plan.</w:t>
      </w:r>
    </w:p>
    <w:p>
      <w:pPr>
        <w:pStyle w:val="ListBullet"/>
      </w:pPr>
      <w:r>
        <w:t>This synthetic SOP does not authorize operational changes or replace site procedures.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