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B17A6" w:rsidRDefault="00A135FD">
      <w:pPr>
        <w:pStyle w:val="Heading1"/>
      </w:pPr>
      <w:r>
        <w:rPr>
          <w:noProof/>
        </w:rPr>
        <w:pict>
          <v:shapetype id="_x0000_t202" coordsize="21600,21600" o:spt="202" path="m,l,21600r21600,l21600,xe">
            <v:stroke joinstyle="miter"/>
            <v:path gradientshapeok="t" o:connecttype="rect"/>
          </v:shapetype>
          <v:shape id="_x0000_s1029" type="#_x0000_t202" style="position:absolute;left:0;text-align:left;margin-left:2.6pt;margin-top:708.45pt;width:230.4pt;height:24.6pt;z-index:251657728;mso-position-vertical-relative:page" o:allowoverlap="f" filled="f" stroked="f">
            <v:textbox style="mso-next-textbox:#_x0000_s1029" inset="0,0,0,0">
              <w:txbxContent>
                <w:p w:rsidR="00A135FD" w:rsidRDefault="00A135FD" w:rsidP="00A135FD">
                  <w:pPr>
                    <w:pStyle w:val="BodyTextIndent"/>
                    <w:tabs>
                      <w:tab w:val="left" w:leader="underscore" w:pos="1800"/>
                    </w:tabs>
                    <w:ind w:firstLine="0"/>
                    <w:rPr>
                      <w:kern w:val="16"/>
                      <w:sz w:val="8"/>
                    </w:rPr>
                  </w:pPr>
                  <w:r>
                    <w:rPr>
                      <w:kern w:val="16"/>
                      <w:sz w:val="8"/>
                    </w:rPr>
                    <w:tab/>
                  </w:r>
                </w:p>
                <w:p w:rsidR="00A135FD" w:rsidRDefault="00A135FD" w:rsidP="00A135FD">
                  <w:pPr>
                    <w:pStyle w:val="FootnoteText"/>
                    <w:keepNext/>
                    <w:rPr>
                      <w:kern w:val="16"/>
                    </w:rPr>
                  </w:pPr>
                  <w:r>
                    <w:rPr>
                      <w:kern w:val="16"/>
                    </w:rPr>
                    <w:t>*</w:t>
                  </w:r>
                  <w:r w:rsidR="00170166">
                    <w:rPr>
                      <w:kern w:val="16"/>
                    </w:rPr>
                    <w:t>Work supported by US DOE under contract DE-AC02-07CH11359</w:t>
                  </w:r>
                </w:p>
                <w:p w:rsidR="00A135FD" w:rsidRPr="00A135FD" w:rsidRDefault="00A135FD" w:rsidP="00A135FD">
                  <w:pPr>
                    <w:pStyle w:val="FootnoteText"/>
                    <w:keepNext/>
                    <w:rPr>
                      <w:kern w:val="16"/>
                    </w:rPr>
                  </w:pPr>
                  <w:r>
                    <w:rPr>
                      <w:kern w:val="16"/>
                      <w:vertAlign w:val="superscript"/>
                    </w:rPr>
                    <w:t>#</w:t>
                  </w:r>
                  <w:r>
                    <w:rPr>
                      <w:kern w:val="16"/>
                    </w:rPr>
                    <w:t>jansson@fnal.gov</w:t>
                  </w:r>
                </w:p>
              </w:txbxContent>
            </v:textbox>
            <w10:wrap type="topAndBottom" anchory="page"/>
            <w10:anchorlock/>
          </v:shape>
        </w:pict>
      </w:r>
      <w:r w:rsidR="00407AE0" w:rsidRPr="00407AE0">
        <w:t>IPM measurements in the Tevatron</w:t>
      </w:r>
      <w:r w:rsidR="006B17A6">
        <w:t>*</w:t>
      </w:r>
    </w:p>
    <w:p w:rsidR="001825BD" w:rsidRPr="001825BD" w:rsidRDefault="004E1D2C" w:rsidP="001825BD">
      <w:pPr>
        <w:pStyle w:val="AuthorList"/>
        <w:rPr>
          <w:kern w:val="16"/>
        </w:rPr>
      </w:pPr>
      <w:r>
        <w:rPr>
          <w:kern w:val="16"/>
        </w:rPr>
        <w:t>A. Jansson</w:t>
      </w:r>
      <w:r w:rsidR="00A135FD" w:rsidRPr="00A135FD">
        <w:rPr>
          <w:kern w:val="16"/>
          <w:vertAlign w:val="superscript"/>
        </w:rPr>
        <w:t>#</w:t>
      </w:r>
      <w:r>
        <w:rPr>
          <w:kern w:val="16"/>
        </w:rPr>
        <w:t>, K.</w:t>
      </w:r>
      <w:r w:rsidRPr="004E1D2C">
        <w:rPr>
          <w:kern w:val="16"/>
        </w:rPr>
        <w:t xml:space="preserve"> B</w:t>
      </w:r>
      <w:r>
        <w:rPr>
          <w:kern w:val="16"/>
        </w:rPr>
        <w:t xml:space="preserve">owie, T. Fitzpatrick, R. </w:t>
      </w:r>
      <w:proofErr w:type="spellStart"/>
      <w:r>
        <w:rPr>
          <w:kern w:val="16"/>
        </w:rPr>
        <w:t>Kwarciany</w:t>
      </w:r>
      <w:proofErr w:type="spellEnd"/>
      <w:r>
        <w:rPr>
          <w:kern w:val="16"/>
        </w:rPr>
        <w:t xml:space="preserve">, C. Lundberg, D. Slimmer, L. </w:t>
      </w:r>
      <w:proofErr w:type="spellStart"/>
      <w:r>
        <w:rPr>
          <w:kern w:val="16"/>
        </w:rPr>
        <w:t>Valerio</w:t>
      </w:r>
      <w:proofErr w:type="spellEnd"/>
      <w:r>
        <w:rPr>
          <w:kern w:val="16"/>
        </w:rPr>
        <w:t xml:space="preserve">, J. </w:t>
      </w:r>
      <w:proofErr w:type="spellStart"/>
      <w:r w:rsidRPr="004E1D2C">
        <w:rPr>
          <w:kern w:val="16"/>
        </w:rPr>
        <w:t>Zagel</w:t>
      </w:r>
      <w:proofErr w:type="spellEnd"/>
      <w:r w:rsidR="006B17A6" w:rsidRPr="00B43D37">
        <w:rPr>
          <w:kern w:val="16"/>
        </w:rPr>
        <w:t xml:space="preserve">, </w:t>
      </w:r>
      <w:proofErr w:type="spellStart"/>
      <w:r w:rsidR="000A01C2">
        <w:rPr>
          <w:kern w:val="16"/>
        </w:rPr>
        <w:t>Fermilab</w:t>
      </w:r>
      <w:proofErr w:type="spellEnd"/>
      <w:r w:rsidR="000A01C2">
        <w:rPr>
          <w:kern w:val="16"/>
        </w:rPr>
        <w:t>, Batavia, IL 60510, USA</w:t>
      </w:r>
    </w:p>
    <w:p w:rsidR="001825BD" w:rsidRPr="001825BD" w:rsidRDefault="001825BD" w:rsidP="001825BD">
      <w:pPr>
        <w:pStyle w:val="BodyTextIndent"/>
        <w:sectPr w:rsidR="001825BD" w:rsidRPr="001825BD">
          <w:footnotePr>
            <w:pos w:val="beneathText"/>
            <w:numFmt w:val="chicago"/>
          </w:footnotePr>
          <w:endnotePr>
            <w:numFmt w:val="decimal"/>
          </w:endnotePr>
          <w:type w:val="continuous"/>
          <w:pgSz w:w="12240" w:h="15840"/>
          <w:pgMar w:top="1077" w:right="1474" w:bottom="1077" w:left="1134" w:header="1077" w:footer="1077" w:gutter="0"/>
          <w:cols w:space="720"/>
          <w:titlePg/>
          <w:docGrid w:linePitch="360"/>
        </w:sectPr>
      </w:pPr>
    </w:p>
    <w:p w:rsidR="006B17A6" w:rsidRDefault="006B17A6">
      <w:pPr>
        <w:pStyle w:val="AbstractTitle"/>
        <w:rPr>
          <w:kern w:val="16"/>
        </w:rPr>
      </w:pPr>
      <w:r>
        <w:rPr>
          <w:kern w:val="16"/>
        </w:rPr>
        <w:lastRenderedPageBreak/>
        <w:t>Abstract</w:t>
      </w:r>
    </w:p>
    <w:p w:rsidR="00407AE0" w:rsidRDefault="00407AE0" w:rsidP="00407AE0">
      <w:pPr>
        <w:pStyle w:val="Heading2"/>
        <w:jc w:val="both"/>
        <w:rPr>
          <w:rFonts w:cs="Times New Roman"/>
          <w:b w:val="0"/>
          <w:bCs w:val="0"/>
          <w:iCs w:val="0"/>
          <w:caps w:val="0"/>
          <w:noProof/>
          <w:sz w:val="20"/>
          <w:szCs w:val="24"/>
        </w:rPr>
      </w:pPr>
      <w:r w:rsidRPr="00407AE0">
        <w:rPr>
          <w:rFonts w:cs="Times New Roman"/>
          <w:b w:val="0"/>
          <w:bCs w:val="0"/>
          <w:iCs w:val="0"/>
          <w:caps w:val="0"/>
          <w:noProof/>
          <w:sz w:val="20"/>
          <w:szCs w:val="24"/>
        </w:rPr>
        <w:t>Two Ionization Profile Monitors (IPMs) were installed in the Tevatron in 2006. The detectors are capable of resolving single bunches turn-by-turn. This paper presents recent improvements to the system hardware and its use for beam monitoring. In particular, the correction of beam size oscillations observed at injection is discussed.</w:t>
      </w:r>
    </w:p>
    <w:p w:rsidR="006B17A6" w:rsidRDefault="00407AE0" w:rsidP="0098471A">
      <w:pPr>
        <w:pStyle w:val="Heading2"/>
      </w:pPr>
      <w:r w:rsidRPr="00407AE0">
        <w:rPr>
          <w:rFonts w:cs="Times New Roman"/>
          <w:b w:val="0"/>
          <w:bCs w:val="0"/>
          <w:iCs w:val="0"/>
          <w:caps w:val="0"/>
          <w:noProof/>
          <w:sz w:val="20"/>
          <w:szCs w:val="24"/>
        </w:rPr>
        <w:t xml:space="preserve"> </w:t>
      </w:r>
      <w:r w:rsidR="000A01C2">
        <w:t>INTRODUCTION</w:t>
      </w:r>
    </w:p>
    <w:p w:rsidR="006B17A6" w:rsidRDefault="009F6D3D" w:rsidP="004A521C">
      <w:pPr>
        <w:pStyle w:val="BodyTextIndent"/>
      </w:pPr>
      <w:r>
        <w:t xml:space="preserve">The </w:t>
      </w:r>
      <w:proofErr w:type="spellStart"/>
      <w:r>
        <w:t>Tevatron</w:t>
      </w:r>
      <w:proofErr w:type="spellEnd"/>
      <w:r>
        <w:t xml:space="preserve"> Ionization Profile </w:t>
      </w:r>
      <w:proofErr w:type="gramStart"/>
      <w:r>
        <w:t>Monitors</w:t>
      </w:r>
      <w:r w:rsidR="004A01A7">
        <w:t>[</w:t>
      </w:r>
      <w:proofErr w:type="gramEnd"/>
      <w:r w:rsidR="004A01A7">
        <w:t>1]</w:t>
      </w:r>
      <w:r>
        <w:t xml:space="preserve"> were developed primarily to detect mismatch-induced beam size oscillations at injection, but also to measure </w:t>
      </w:r>
      <w:proofErr w:type="spellStart"/>
      <w:r>
        <w:t>emittance</w:t>
      </w:r>
      <w:proofErr w:type="spellEnd"/>
      <w:r>
        <w:t xml:space="preserve"> evolution during e</w:t>
      </w:r>
      <w:r w:rsidR="00F14033">
        <w:t>.</w:t>
      </w:r>
      <w:r>
        <w:t>g</w:t>
      </w:r>
      <w:r w:rsidR="00F14033">
        <w:t>.</w:t>
      </w:r>
      <w:r>
        <w:t xml:space="preserve"> ramp and squeeze. </w:t>
      </w:r>
      <w:r w:rsidR="006E1184">
        <w:t xml:space="preserve">The </w:t>
      </w:r>
      <w:r>
        <w:t xml:space="preserve">detectors are capable of measuring the profile of single proton and </w:t>
      </w:r>
      <w:proofErr w:type="spellStart"/>
      <w:r>
        <w:t>pbar</w:t>
      </w:r>
      <w:proofErr w:type="spellEnd"/>
      <w:r>
        <w:t xml:space="preserve"> bunches</w:t>
      </w:r>
      <w:r w:rsidR="006E1184">
        <w:t>. This is achieved by continuously integrating the ionization signal from each anode strip in ~60ns intervals (7/2 times the RF period), using very sens</w:t>
      </w:r>
      <w:r w:rsidR="0071112C">
        <w:t xml:space="preserve">itive electronics (2.9fC LSB). Since individual proton bunches are separated by 21 RF buckets and protons and </w:t>
      </w:r>
      <w:proofErr w:type="spellStart"/>
      <w:r w:rsidR="0071112C">
        <w:t>pbars</w:t>
      </w:r>
      <w:proofErr w:type="spellEnd"/>
      <w:r w:rsidR="0071112C">
        <w:t xml:space="preserve"> are separated by ~7 RF buckets at the location of the IPM, individual bunches may be studied by selecting the appropriate samples.</w:t>
      </w:r>
      <w:r w:rsidR="003F0DB2">
        <w:t xml:space="preserve"> This is </w:t>
      </w:r>
      <w:r w:rsidR="00F14033">
        <w:t>useful</w:t>
      </w:r>
      <w:r w:rsidR="003F0DB2">
        <w:t xml:space="preserve"> </w:t>
      </w:r>
      <w:r w:rsidR="00F14033">
        <w:t xml:space="preserve">e.g. </w:t>
      </w:r>
      <w:r w:rsidR="003F0DB2">
        <w:t>to measure injection matching of bunches injected into a partially filled machine.</w:t>
      </w:r>
    </w:p>
    <w:p w:rsidR="0071112C" w:rsidRDefault="0071112C" w:rsidP="004A521C">
      <w:pPr>
        <w:pStyle w:val="BodyTextIndent"/>
      </w:pPr>
      <w:r>
        <w:t xml:space="preserve">To achieve low noise, the integration is done in the </w:t>
      </w:r>
      <w:r w:rsidR="00F5459B">
        <w:t xml:space="preserve">tunnel and signals </w:t>
      </w:r>
      <w:r w:rsidR="00F14033">
        <w:t xml:space="preserve">are </w:t>
      </w:r>
      <w:r w:rsidR="00F5459B">
        <w:t>sent to the service building</w:t>
      </w:r>
      <w:r>
        <w:t xml:space="preserve"> in digital form on optical fibers. Each front end board handles eight channels, and up to 16 front end boards </w:t>
      </w:r>
      <w:r w:rsidR="002D31A5">
        <w:t xml:space="preserve">(128 channels) </w:t>
      </w:r>
      <w:r>
        <w:t xml:space="preserve">may be used per system. The front end boards </w:t>
      </w:r>
      <w:r w:rsidR="00F5459B">
        <w:t>all receive a common</w:t>
      </w:r>
      <w:r>
        <w:t xml:space="preserve"> </w:t>
      </w:r>
      <w:r w:rsidR="00F5459B">
        <w:t xml:space="preserve">clock frequency and timing signals generated from the </w:t>
      </w:r>
      <w:proofErr w:type="spellStart"/>
      <w:r w:rsidR="00F5459B">
        <w:t>Tevatron</w:t>
      </w:r>
      <w:proofErr w:type="spellEnd"/>
      <w:r w:rsidR="00F5459B">
        <w:t xml:space="preserve"> Beam Sync Clock by a PC in the service building.</w:t>
      </w:r>
    </w:p>
    <w:p w:rsidR="00F5459B" w:rsidRPr="006E1184" w:rsidRDefault="00F5459B" w:rsidP="004A521C">
      <w:pPr>
        <w:pStyle w:val="BodyTextIndent"/>
        <w:rPr>
          <w:rFonts w:ascii="Times" w:hAnsi="Times"/>
        </w:rPr>
      </w:pPr>
      <w:r>
        <w:t>Each board returns data on a separate high-speed optical link. The data from the individual boards is</w:t>
      </w:r>
      <w:r w:rsidR="00516F10">
        <w:t xml:space="preserve"> then</w:t>
      </w:r>
      <w:r>
        <w:t xml:space="preserve"> collected, synchronized and buffered in a Data Buffer Card in the same PC</w:t>
      </w:r>
      <w:r w:rsidR="00F14033">
        <w:t xml:space="preserve"> that hosts the timing card</w:t>
      </w:r>
      <w:r>
        <w:t>.</w:t>
      </w:r>
      <w:r w:rsidR="00516F10">
        <w:t xml:space="preserve"> The Buffer card can handle eight links, and two boards may be daisy-chained to handle the full 16 links. The total data rate may exceed to 20Gbps, depending on how many cards are installed, and the Buffe</w:t>
      </w:r>
      <w:r w:rsidR="00F14033">
        <w:t>r card is capable of storing 20</w:t>
      </w:r>
      <w:r w:rsidR="00516F10">
        <w:t xml:space="preserve">000 turns of continuous data. Data can also be </w:t>
      </w:r>
      <w:r w:rsidR="00CD6378">
        <w:t>reduced</w:t>
      </w:r>
      <w:r w:rsidR="00516F10">
        <w:t xml:space="preserve"> on-the-fly to select only interesting samples, raising the total number of turns to 6 Million for a single bunch. However, when the full buffer memory is used, analysis time</w:t>
      </w:r>
      <w:r w:rsidR="0075704D">
        <w:t xml:space="preserve"> with the </w:t>
      </w:r>
      <w:proofErr w:type="spellStart"/>
      <w:r w:rsidR="0075704D">
        <w:t>LabView</w:t>
      </w:r>
      <w:proofErr w:type="spellEnd"/>
      <w:r w:rsidR="0075704D">
        <w:t xml:space="preserve"> software</w:t>
      </w:r>
      <w:r w:rsidR="00516F10">
        <w:t xml:space="preserve"> becomes prohibitive</w:t>
      </w:r>
      <w:r w:rsidR="0075704D">
        <w:t xml:space="preserve">. </w:t>
      </w:r>
      <w:r w:rsidR="00CD6378">
        <w:t>However</w:t>
      </w:r>
      <w:r w:rsidR="0075704D">
        <w:t>, in practice measurement are typically restricted to less than ~1000 t</w:t>
      </w:r>
      <w:r w:rsidR="00F14033">
        <w:t>urns, which is sufficient for mo</w:t>
      </w:r>
      <w:r w:rsidR="0075704D">
        <w:t>st applications.</w:t>
      </w:r>
      <w:r w:rsidR="00516F10">
        <w:t xml:space="preserve"> </w:t>
      </w:r>
    </w:p>
    <w:p w:rsidR="006B17A6" w:rsidRDefault="000A01C2">
      <w:pPr>
        <w:pStyle w:val="Heading2"/>
      </w:pPr>
      <w:r>
        <w:lastRenderedPageBreak/>
        <w:t>RECENT IMPROVEMENTS</w:t>
      </w:r>
    </w:p>
    <w:p w:rsidR="006B17A6" w:rsidRDefault="0075704D" w:rsidP="00E02D4D">
      <w:pPr>
        <w:pStyle w:val="BodyTextIndent"/>
        <w:rPr>
          <w:kern w:val="16"/>
        </w:rPr>
      </w:pPr>
      <w:r>
        <w:rPr>
          <w:kern w:val="16"/>
        </w:rPr>
        <w:t>For the</w:t>
      </w:r>
      <w:r w:rsidR="0071112C">
        <w:rPr>
          <w:kern w:val="16"/>
        </w:rPr>
        <w:t xml:space="preserve"> initial </w:t>
      </w:r>
      <w:proofErr w:type="gramStart"/>
      <w:r w:rsidR="0071112C">
        <w:rPr>
          <w:kern w:val="16"/>
        </w:rPr>
        <w:t>measurements</w:t>
      </w:r>
      <w:r w:rsidR="004A01A7">
        <w:rPr>
          <w:kern w:val="16"/>
        </w:rPr>
        <w:t>[</w:t>
      </w:r>
      <w:proofErr w:type="gramEnd"/>
      <w:r w:rsidR="004A01A7">
        <w:rPr>
          <w:kern w:val="16"/>
        </w:rPr>
        <w:t>2</w:t>
      </w:r>
      <w:r>
        <w:rPr>
          <w:kern w:val="16"/>
        </w:rPr>
        <w:t xml:space="preserve">], a </w:t>
      </w:r>
      <w:proofErr w:type="spellStart"/>
      <w:r>
        <w:rPr>
          <w:kern w:val="16"/>
        </w:rPr>
        <w:t>LabView</w:t>
      </w:r>
      <w:proofErr w:type="spellEnd"/>
      <w:r>
        <w:rPr>
          <w:kern w:val="16"/>
        </w:rPr>
        <w:t xml:space="preserve"> program was used to set up the measurement parameters. Data was then downloaded from the buffer card, saved to file</w:t>
      </w:r>
      <w:r w:rsidR="0071112C">
        <w:rPr>
          <w:kern w:val="16"/>
        </w:rPr>
        <w:t xml:space="preserve"> </w:t>
      </w:r>
      <w:r>
        <w:rPr>
          <w:kern w:val="16"/>
        </w:rPr>
        <w:t xml:space="preserve">and </w:t>
      </w:r>
      <w:r w:rsidR="00CD6378">
        <w:rPr>
          <w:kern w:val="16"/>
        </w:rPr>
        <w:t>analyzed</w:t>
      </w:r>
      <w:r>
        <w:rPr>
          <w:kern w:val="16"/>
        </w:rPr>
        <w:t xml:space="preserve"> off-line using </w:t>
      </w:r>
      <w:proofErr w:type="spellStart"/>
      <w:r>
        <w:rPr>
          <w:kern w:val="16"/>
        </w:rPr>
        <w:t>Mathematica</w:t>
      </w:r>
      <w:proofErr w:type="spellEnd"/>
      <w:r>
        <w:rPr>
          <w:kern w:val="16"/>
        </w:rPr>
        <w:t xml:space="preserve">. This analysis has now been incorporated into the </w:t>
      </w:r>
      <w:proofErr w:type="spellStart"/>
      <w:r>
        <w:rPr>
          <w:kern w:val="16"/>
        </w:rPr>
        <w:t>LabView</w:t>
      </w:r>
      <w:proofErr w:type="spellEnd"/>
      <w:r>
        <w:rPr>
          <w:kern w:val="16"/>
        </w:rPr>
        <w:t xml:space="preserve"> program, making the turnaround time for a measurement much shorter</w:t>
      </w:r>
      <w:r w:rsidR="003759FE">
        <w:rPr>
          <w:kern w:val="16"/>
        </w:rPr>
        <w:t xml:space="preserve"> and the system more user-</w:t>
      </w:r>
      <w:r w:rsidR="003F0DB2">
        <w:rPr>
          <w:kern w:val="16"/>
        </w:rPr>
        <w:t>friendly</w:t>
      </w:r>
      <w:r w:rsidR="002C2571">
        <w:rPr>
          <w:kern w:val="16"/>
        </w:rPr>
        <w:t>.</w:t>
      </w:r>
    </w:p>
    <w:p w:rsidR="003F0DB2" w:rsidRDefault="003F0DB2" w:rsidP="00E02D4D">
      <w:pPr>
        <w:pStyle w:val="BodyTextIndent"/>
        <w:rPr>
          <w:kern w:val="16"/>
        </w:rPr>
      </w:pPr>
    </w:p>
    <w:p w:rsidR="007C74B4" w:rsidRDefault="007C74B4" w:rsidP="00E02D4D">
      <w:pPr>
        <w:pStyle w:val="BodyTextIndent"/>
        <w:rPr>
          <w:kern w:val="16"/>
        </w:rPr>
      </w:pPr>
    </w:p>
    <w:p w:rsidR="007C74B4" w:rsidRDefault="002C7A2E" w:rsidP="007C74B4">
      <w:pPr>
        <w:pStyle w:val="BodyTextIndent"/>
        <w:ind w:firstLine="0"/>
        <w:rPr>
          <w:kern w:val="16"/>
        </w:rPr>
      </w:pPr>
      <w:r>
        <w:rPr>
          <w:noProof/>
          <w:kern w:val="16"/>
        </w:rPr>
        <w:drawing>
          <wp:inline distT="0" distB="0" distL="0" distR="0">
            <wp:extent cx="2971800" cy="1933575"/>
            <wp:effectExtent l="19050" t="0" r="0" b="0"/>
            <wp:docPr id="1" name="Picture 1" descr="screenshot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shot2"/>
                    <pic:cNvPicPr>
                      <a:picLocks noChangeAspect="1" noChangeArrowheads="1"/>
                    </pic:cNvPicPr>
                  </pic:nvPicPr>
                  <pic:blipFill>
                    <a:blip r:embed="rId7"/>
                    <a:srcRect/>
                    <a:stretch>
                      <a:fillRect/>
                    </a:stretch>
                  </pic:blipFill>
                  <pic:spPr bwMode="auto">
                    <a:xfrm>
                      <a:off x="0" y="0"/>
                      <a:ext cx="2971800" cy="1933575"/>
                    </a:xfrm>
                    <a:prstGeom prst="rect">
                      <a:avLst/>
                    </a:prstGeom>
                    <a:noFill/>
                    <a:ln w="9525">
                      <a:noFill/>
                      <a:miter lim="800000"/>
                      <a:headEnd/>
                      <a:tailEnd/>
                    </a:ln>
                  </pic:spPr>
                </pic:pic>
              </a:graphicData>
            </a:graphic>
          </wp:inline>
        </w:drawing>
      </w:r>
    </w:p>
    <w:p w:rsidR="007C74B4" w:rsidRDefault="007C74B4" w:rsidP="007C74B4">
      <w:pPr>
        <w:pStyle w:val="FigureCaptionMultiLine"/>
        <w:rPr>
          <w:kern w:val="16"/>
        </w:rPr>
      </w:pPr>
      <w:proofErr w:type="gramStart"/>
      <w:r>
        <w:rPr>
          <w:kern w:val="16"/>
        </w:rPr>
        <w:t>Figure 1.</w:t>
      </w:r>
      <w:proofErr w:type="gramEnd"/>
      <w:r>
        <w:rPr>
          <w:kern w:val="16"/>
        </w:rPr>
        <w:t xml:space="preserve"> </w:t>
      </w:r>
      <w:proofErr w:type="gramStart"/>
      <w:r>
        <w:rPr>
          <w:kern w:val="16"/>
        </w:rPr>
        <w:t>Screenshot</w:t>
      </w:r>
      <w:r w:rsidR="007306F8">
        <w:rPr>
          <w:kern w:val="16"/>
        </w:rPr>
        <w:t xml:space="preserve"> from the </w:t>
      </w:r>
      <w:proofErr w:type="spellStart"/>
      <w:r w:rsidR="007306F8">
        <w:rPr>
          <w:kern w:val="16"/>
        </w:rPr>
        <w:t>Tevatron</w:t>
      </w:r>
      <w:proofErr w:type="spellEnd"/>
      <w:r w:rsidR="007306F8">
        <w:rPr>
          <w:kern w:val="16"/>
        </w:rPr>
        <w:t xml:space="preserve"> IPM </w:t>
      </w:r>
      <w:proofErr w:type="spellStart"/>
      <w:r w:rsidR="007306F8">
        <w:rPr>
          <w:kern w:val="16"/>
        </w:rPr>
        <w:t>Labview</w:t>
      </w:r>
      <w:proofErr w:type="spellEnd"/>
      <w:r w:rsidR="007306F8">
        <w:rPr>
          <w:kern w:val="16"/>
        </w:rPr>
        <w:t xml:space="preserve"> p</w:t>
      </w:r>
      <w:r>
        <w:rPr>
          <w:kern w:val="16"/>
        </w:rPr>
        <w:t>rogram</w:t>
      </w:r>
      <w:r w:rsidR="004E0DA2">
        <w:rPr>
          <w:kern w:val="16"/>
        </w:rPr>
        <w:t>.</w:t>
      </w:r>
      <w:proofErr w:type="gramEnd"/>
      <w:r w:rsidR="004E0DA2">
        <w:rPr>
          <w:kern w:val="16"/>
        </w:rPr>
        <w:t xml:space="preserve">  At low beta, the vertical system is capable measuring both protons and </w:t>
      </w:r>
      <w:proofErr w:type="spellStart"/>
      <w:r w:rsidR="004E0DA2">
        <w:rPr>
          <w:kern w:val="16"/>
        </w:rPr>
        <w:t>pbars</w:t>
      </w:r>
      <w:proofErr w:type="spellEnd"/>
      <w:r w:rsidR="004E0DA2">
        <w:rPr>
          <w:kern w:val="16"/>
        </w:rPr>
        <w:t xml:space="preserve"> simultaneously, without moving the detector.</w:t>
      </w:r>
    </w:p>
    <w:p w:rsidR="003F0DB2" w:rsidRDefault="003F0DB2" w:rsidP="00EB1C71">
      <w:pPr>
        <w:pStyle w:val="BodyTextIndent"/>
        <w:ind w:firstLine="0"/>
        <w:rPr>
          <w:kern w:val="16"/>
        </w:rPr>
      </w:pPr>
    </w:p>
    <w:p w:rsidR="000D36C2" w:rsidRDefault="002C2571" w:rsidP="00E02D4D">
      <w:pPr>
        <w:pStyle w:val="BodyTextIndent"/>
        <w:rPr>
          <w:kern w:val="16"/>
        </w:rPr>
      </w:pPr>
      <w:r>
        <w:rPr>
          <w:kern w:val="16"/>
        </w:rPr>
        <w:t xml:space="preserve">The </w:t>
      </w:r>
      <w:r w:rsidR="002D31A5">
        <w:rPr>
          <w:kern w:val="16"/>
        </w:rPr>
        <w:t>initial</w:t>
      </w:r>
      <w:r w:rsidR="000B0073">
        <w:rPr>
          <w:kern w:val="16"/>
        </w:rPr>
        <w:t xml:space="preserve"> systems had </w:t>
      </w:r>
      <w:r>
        <w:rPr>
          <w:kern w:val="16"/>
        </w:rPr>
        <w:t>five</w:t>
      </w:r>
      <w:r w:rsidR="000D36C2">
        <w:rPr>
          <w:kern w:val="16"/>
        </w:rPr>
        <w:t xml:space="preserve"> </w:t>
      </w:r>
      <w:r w:rsidR="000B0073">
        <w:rPr>
          <w:kern w:val="16"/>
        </w:rPr>
        <w:t xml:space="preserve">prototype </w:t>
      </w:r>
      <w:r w:rsidR="000D36C2">
        <w:rPr>
          <w:kern w:val="16"/>
        </w:rPr>
        <w:t>front end boards each, for a total of 40 channels per system. At a channel pitch of ¼ mm, this corresponds to an active width of 1cm.</w:t>
      </w:r>
      <w:r w:rsidR="002D31A5">
        <w:rPr>
          <w:kern w:val="16"/>
        </w:rPr>
        <w:t xml:space="preserve"> These prototype systems were used to debug the firmware before the production run, since the front-end boards use one-time programmable FPGAs </w:t>
      </w:r>
      <w:r w:rsidR="000B0073">
        <w:rPr>
          <w:kern w:val="16"/>
        </w:rPr>
        <w:t>(</w:t>
      </w:r>
      <w:r w:rsidR="002D31A5">
        <w:rPr>
          <w:kern w:val="16"/>
        </w:rPr>
        <w:t>for radiation hardness</w:t>
      </w:r>
      <w:r w:rsidR="000B0073">
        <w:rPr>
          <w:kern w:val="16"/>
        </w:rPr>
        <w:t>)</w:t>
      </w:r>
      <w:r w:rsidR="002D31A5">
        <w:rPr>
          <w:kern w:val="16"/>
        </w:rPr>
        <w:t>. While 1cm is sufficient to cover the vertical beam size, both at injection and flattop</w:t>
      </w:r>
      <w:r w:rsidR="000B0073">
        <w:rPr>
          <w:kern w:val="16"/>
        </w:rPr>
        <w:t xml:space="preserve">, it is too small to measure the horizontal beam size at injection. </w:t>
      </w:r>
      <w:r w:rsidR="00724C4C">
        <w:rPr>
          <w:kern w:val="16"/>
        </w:rPr>
        <w:t>For this reason,</w:t>
      </w:r>
      <w:r w:rsidR="000B0073">
        <w:rPr>
          <w:kern w:val="16"/>
        </w:rPr>
        <w:t xml:space="preserve"> the horizontal system was chosen to test the </w:t>
      </w:r>
      <w:proofErr w:type="gramStart"/>
      <w:r w:rsidR="000B0073">
        <w:rPr>
          <w:kern w:val="16"/>
        </w:rPr>
        <w:t>production</w:t>
      </w:r>
      <w:proofErr w:type="gramEnd"/>
      <w:r w:rsidR="000B0073">
        <w:rPr>
          <w:kern w:val="16"/>
        </w:rPr>
        <w:t xml:space="preserve"> front end boards. Recently, 10 boards (80 channels) with new firmware were installed in the horizontal system. This </w:t>
      </w:r>
      <w:r w:rsidR="00724C4C">
        <w:rPr>
          <w:kern w:val="16"/>
        </w:rPr>
        <w:t xml:space="preserve">upgraded </w:t>
      </w:r>
      <w:r w:rsidR="000B0073">
        <w:rPr>
          <w:kern w:val="16"/>
        </w:rPr>
        <w:t>system is currently being tested.</w:t>
      </w:r>
    </w:p>
    <w:p w:rsidR="006B17A6" w:rsidRDefault="000A01C2">
      <w:pPr>
        <w:pStyle w:val="Heading2"/>
      </w:pPr>
      <w:r>
        <w:t>PROTON InJECTIon MATCHING</w:t>
      </w:r>
    </w:p>
    <w:p w:rsidR="0091732B" w:rsidRDefault="0091732B" w:rsidP="0091732B">
      <w:pPr>
        <w:pStyle w:val="Heading3"/>
        <w:rPr>
          <w:kern w:val="16"/>
        </w:rPr>
      </w:pPr>
      <w:r>
        <w:rPr>
          <w:kern w:val="16"/>
        </w:rPr>
        <w:t>Observation of mismatch</w:t>
      </w:r>
    </w:p>
    <w:p w:rsidR="0017277B" w:rsidRDefault="00DD5A93" w:rsidP="00E02D4D">
      <w:pPr>
        <w:pStyle w:val="BodyTextIndent"/>
        <w:rPr>
          <w:kern w:val="16"/>
        </w:rPr>
      </w:pPr>
      <w:r>
        <w:rPr>
          <w:kern w:val="16"/>
        </w:rPr>
        <w:t xml:space="preserve">The primary purpose for the IPMs </w:t>
      </w:r>
      <w:r w:rsidR="00AF6059">
        <w:rPr>
          <w:kern w:val="16"/>
        </w:rPr>
        <w:t>is to detect injection mismatch</w:t>
      </w:r>
      <w:r>
        <w:rPr>
          <w:kern w:val="16"/>
        </w:rPr>
        <w:t xml:space="preserve"> by measuring the beam size over the first few hundred turns following injection. Indeed, </w:t>
      </w:r>
      <w:r w:rsidR="00AF6059">
        <w:rPr>
          <w:kern w:val="16"/>
        </w:rPr>
        <w:t xml:space="preserve">during proton injection </w:t>
      </w:r>
      <w:r>
        <w:rPr>
          <w:kern w:val="16"/>
        </w:rPr>
        <w:t>a vertical beam size oscillation of about ±</w:t>
      </w:r>
      <w:r w:rsidR="00B2457E">
        <w:rPr>
          <w:kern w:val="16"/>
        </w:rPr>
        <w:t xml:space="preserve"> </w:t>
      </w:r>
      <w:r>
        <w:rPr>
          <w:kern w:val="16"/>
        </w:rPr>
        <w:t xml:space="preserve">20% was detected. </w:t>
      </w:r>
      <w:r w:rsidR="002C2571">
        <w:rPr>
          <w:kern w:val="16"/>
        </w:rPr>
        <w:t xml:space="preserve">The mismatch is clearly visible </w:t>
      </w:r>
      <w:r w:rsidR="00AF6059">
        <w:rPr>
          <w:kern w:val="16"/>
        </w:rPr>
        <w:t xml:space="preserve">and </w:t>
      </w:r>
      <w:r w:rsidR="00AF6059">
        <w:rPr>
          <w:kern w:val="16"/>
        </w:rPr>
        <w:lastRenderedPageBreak/>
        <w:t xml:space="preserve">consistent </w:t>
      </w:r>
      <w:r w:rsidR="002C2571">
        <w:rPr>
          <w:kern w:val="16"/>
        </w:rPr>
        <w:t>for all 36 proton bunch injections during shot setup.</w:t>
      </w:r>
      <w:r w:rsidR="00AF6059">
        <w:rPr>
          <w:kern w:val="16"/>
        </w:rPr>
        <w:t xml:space="preserve"> A beam size oscillation of this magnitude corresponds to an </w:t>
      </w:r>
      <w:proofErr w:type="spellStart"/>
      <w:r w:rsidR="00AF6059">
        <w:rPr>
          <w:kern w:val="16"/>
        </w:rPr>
        <w:t>emittance</w:t>
      </w:r>
      <w:proofErr w:type="spellEnd"/>
      <w:r w:rsidR="00AF6059">
        <w:rPr>
          <w:kern w:val="16"/>
        </w:rPr>
        <w:t xml:space="preserve"> blow-up of about 10%.</w:t>
      </w:r>
    </w:p>
    <w:p w:rsidR="000A39D6" w:rsidRDefault="002C7A2E" w:rsidP="00E02D4D">
      <w:pPr>
        <w:pStyle w:val="BodyTextIndent"/>
      </w:pPr>
      <w:r>
        <w:rPr>
          <w:noProof/>
        </w:rPr>
        <w:drawing>
          <wp:inline distT="0" distB="0" distL="0" distR="0">
            <wp:extent cx="2743200" cy="1676400"/>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2743200" cy="1676400"/>
                    </a:xfrm>
                    <a:prstGeom prst="rect">
                      <a:avLst/>
                    </a:prstGeom>
                    <a:noFill/>
                    <a:ln w="9525">
                      <a:noFill/>
                      <a:miter lim="800000"/>
                      <a:headEnd/>
                      <a:tailEnd/>
                    </a:ln>
                  </pic:spPr>
                </pic:pic>
              </a:graphicData>
            </a:graphic>
          </wp:inline>
        </w:drawing>
      </w:r>
    </w:p>
    <w:p w:rsidR="00B2457E" w:rsidRDefault="00AF6059" w:rsidP="00B2457E">
      <w:pPr>
        <w:pStyle w:val="FigureCaptionMultiLine"/>
        <w:rPr>
          <w:kern w:val="16"/>
        </w:rPr>
      </w:pPr>
      <w:proofErr w:type="gramStart"/>
      <w:r>
        <w:rPr>
          <w:kern w:val="16"/>
        </w:rPr>
        <w:t>Figure 2</w:t>
      </w:r>
      <w:r w:rsidR="0091732B">
        <w:rPr>
          <w:kern w:val="16"/>
        </w:rPr>
        <w:t>.</w:t>
      </w:r>
      <w:proofErr w:type="gramEnd"/>
      <w:r w:rsidR="0091732B">
        <w:rPr>
          <w:kern w:val="16"/>
        </w:rPr>
        <w:t xml:space="preserve"> V</w:t>
      </w:r>
      <w:r w:rsidR="00B2457E">
        <w:rPr>
          <w:kern w:val="16"/>
        </w:rPr>
        <w:t>ertical beam size for the first 85 turns following injection</w:t>
      </w:r>
      <w:r w:rsidR="0016049F">
        <w:rPr>
          <w:kern w:val="16"/>
        </w:rPr>
        <w:t xml:space="preserve"> for proton bunches #</w:t>
      </w:r>
      <w:r w:rsidR="0091732B">
        <w:rPr>
          <w:kern w:val="16"/>
        </w:rPr>
        <w:t xml:space="preserve">5 (black), </w:t>
      </w:r>
      <w:r w:rsidR="0016049F">
        <w:rPr>
          <w:kern w:val="16"/>
        </w:rPr>
        <w:t>#</w:t>
      </w:r>
      <w:r w:rsidR="0091732B">
        <w:rPr>
          <w:kern w:val="16"/>
        </w:rPr>
        <w:t xml:space="preserve">11 (red), </w:t>
      </w:r>
      <w:r w:rsidR="0016049F">
        <w:rPr>
          <w:kern w:val="16"/>
        </w:rPr>
        <w:t>#</w:t>
      </w:r>
      <w:r w:rsidR="0091732B">
        <w:rPr>
          <w:kern w:val="16"/>
        </w:rPr>
        <w:t xml:space="preserve">15 (green) and </w:t>
      </w:r>
      <w:r w:rsidR="0016049F">
        <w:rPr>
          <w:kern w:val="16"/>
        </w:rPr>
        <w:t>#</w:t>
      </w:r>
      <w:r w:rsidR="0091732B">
        <w:rPr>
          <w:kern w:val="16"/>
        </w:rPr>
        <w:t>19 (blue), taken during the same collider shot</w:t>
      </w:r>
      <w:r w:rsidR="00B2457E">
        <w:rPr>
          <w:kern w:val="16"/>
        </w:rPr>
        <w:t xml:space="preserve">. There is clear </w:t>
      </w:r>
      <w:r w:rsidR="0091732B">
        <w:rPr>
          <w:kern w:val="16"/>
        </w:rPr>
        <w:t xml:space="preserve">and consistent </w:t>
      </w:r>
      <w:r w:rsidR="00B2457E">
        <w:rPr>
          <w:kern w:val="16"/>
        </w:rPr>
        <w:t>evidence of mismatch.</w:t>
      </w:r>
    </w:p>
    <w:p w:rsidR="000A39D6" w:rsidRDefault="000A39D6" w:rsidP="00E02D4D">
      <w:pPr>
        <w:pStyle w:val="BodyTextIndent"/>
        <w:rPr>
          <w:kern w:val="16"/>
        </w:rPr>
      </w:pPr>
    </w:p>
    <w:p w:rsidR="0091732B" w:rsidRDefault="0091732B" w:rsidP="0091732B">
      <w:pPr>
        <w:pStyle w:val="Heading3"/>
        <w:rPr>
          <w:kern w:val="16"/>
        </w:rPr>
      </w:pPr>
      <w:r>
        <w:rPr>
          <w:kern w:val="16"/>
        </w:rPr>
        <w:t>Correction of mismatch</w:t>
      </w:r>
    </w:p>
    <w:p w:rsidR="006B17A6" w:rsidRDefault="00DD5A93" w:rsidP="00E02D4D">
      <w:pPr>
        <w:pStyle w:val="BodyTextIndent"/>
        <w:rPr>
          <w:kern w:val="16"/>
        </w:rPr>
      </w:pPr>
      <w:r>
        <w:rPr>
          <w:kern w:val="16"/>
        </w:rPr>
        <w:t xml:space="preserve">The </w:t>
      </w:r>
      <w:r w:rsidR="006A74C4">
        <w:rPr>
          <w:kern w:val="16"/>
        </w:rPr>
        <w:t>evolution of the</w:t>
      </w:r>
      <w:r w:rsidR="0017277B">
        <w:rPr>
          <w:kern w:val="16"/>
        </w:rPr>
        <w:t xml:space="preserve"> beam size (or rather the square of the beam size) when the beam is injected with small errors </w:t>
      </w:r>
      <w:proofErr w:type="spellStart"/>
      <w:r w:rsidR="0017277B">
        <w:rPr>
          <w:i/>
          <w:kern w:val="16"/>
        </w:rPr>
        <w:t>Δβ</w:t>
      </w:r>
      <w:proofErr w:type="spellEnd"/>
      <w:r w:rsidR="0017277B">
        <w:rPr>
          <w:i/>
          <w:kern w:val="16"/>
        </w:rPr>
        <w:t xml:space="preserve"> </w:t>
      </w:r>
      <w:r w:rsidR="0017277B">
        <w:rPr>
          <w:kern w:val="16"/>
        </w:rPr>
        <w:t>and</w:t>
      </w:r>
      <w:r w:rsidR="0017277B" w:rsidRPr="00DD5A93">
        <w:rPr>
          <w:i/>
          <w:kern w:val="16"/>
        </w:rPr>
        <w:t xml:space="preserve"> </w:t>
      </w:r>
      <w:proofErr w:type="spellStart"/>
      <w:r w:rsidR="0017277B">
        <w:rPr>
          <w:i/>
          <w:kern w:val="16"/>
        </w:rPr>
        <w:t>Δα</w:t>
      </w:r>
      <w:proofErr w:type="spellEnd"/>
      <w:r w:rsidR="0017277B">
        <w:rPr>
          <w:kern w:val="16"/>
        </w:rPr>
        <w:t xml:space="preserve"> in the Courant-Snyder parameters, is given by</w:t>
      </w:r>
    </w:p>
    <w:p w:rsidR="009376AF" w:rsidRDefault="009376AF" w:rsidP="009376AF">
      <m:oMathPara>
        <m:oMath>
          <m:sSup>
            <m:sSupPr>
              <m:ctrlPr>
                <w:rPr>
                  <w:rFonts w:ascii="Cambria Math" w:hAnsi="Cambria Math"/>
                  <w:i/>
                </w:rPr>
              </m:ctrlPr>
            </m:sSupPr>
            <m:e>
              <m:r>
                <w:rPr>
                  <w:rFonts w:ascii="Cambria Math" w:hAnsi="Cambria Math"/>
                </w:rPr>
                <m:t>σ</m:t>
              </m:r>
            </m:e>
            <m:sup>
              <m:r>
                <w:rPr>
                  <w:rFonts w:ascii="Cambria Math" w:hAnsi="Cambria Math"/>
                </w:rPr>
                <m:t>2</m:t>
              </m:r>
            </m:sup>
          </m:sSup>
          <m:d>
            <m:dPr>
              <m:ctrlPr>
                <w:rPr>
                  <w:rFonts w:ascii="Cambria Math" w:hAnsi="Cambria Math"/>
                  <w:i/>
                </w:rPr>
              </m:ctrlPr>
            </m:dPr>
            <m:e>
              <m:r>
                <w:rPr>
                  <w:rFonts w:ascii="Cambria Math" w:hAnsi="Cambria Math"/>
                </w:rPr>
                <m:t>n</m:t>
              </m:r>
            </m:e>
          </m:d>
          <m:r>
            <w:rPr>
              <w:rFonts w:ascii="Cambria Math" w:hAnsi="Cambria Math"/>
            </w:rPr>
            <m:t xml:space="preserve">=ε β </m:t>
          </m:r>
          <m:d>
            <m:dPr>
              <m:ctrlPr>
                <w:rPr>
                  <w:rFonts w:ascii="Cambria Math" w:hAnsi="Cambria Math"/>
                  <w:i/>
                </w:rPr>
              </m:ctrlPr>
            </m:dPr>
            <m:e>
              <m:f>
                <m:fPr>
                  <m:ctrlPr>
                    <w:rPr>
                      <w:rFonts w:ascii="Cambria Math" w:hAnsi="Cambria Math"/>
                      <w:i/>
                    </w:rPr>
                  </m:ctrlPr>
                </m:fPr>
                <m:num>
                  <m:r>
                    <w:rPr>
                      <w:rFonts w:ascii="Cambria Math" w:hAnsi="Cambria Math"/>
                    </w:rPr>
                    <m:t>∆β</m:t>
                  </m:r>
                </m:num>
                <m:den>
                  <m:r>
                    <w:rPr>
                      <w:rFonts w:ascii="Cambria Math" w:hAnsi="Cambria Math"/>
                    </w:rPr>
                    <m:t>β</m:t>
                  </m:r>
                </m:den>
              </m:f>
              <m:func>
                <m:funcPr>
                  <m:ctrlPr>
                    <w:rPr>
                      <w:rFonts w:ascii="Cambria Math" w:hAnsi="Cambria Math"/>
                      <w:i/>
                    </w:rPr>
                  </m:ctrlPr>
                </m:funcPr>
                <m:fName>
                  <m:r>
                    <m:rPr>
                      <m:sty m:val="p"/>
                    </m:rPr>
                    <w:rPr>
                      <w:rFonts w:ascii="Cambria Math" w:hAnsi="Cambria Math"/>
                    </w:rPr>
                    <m:t>cos</m:t>
                  </m:r>
                </m:fName>
                <m:e>
                  <m:r>
                    <w:rPr>
                      <w:rFonts w:ascii="Cambria Math" w:hAnsi="Cambria Math"/>
                    </w:rPr>
                    <m:t>2ω</m:t>
                  </m:r>
                </m:e>
              </m:func>
              <m:r>
                <w:rPr>
                  <w:rFonts w:ascii="Cambria Math" w:hAnsi="Cambria Math"/>
                </w:rPr>
                <m:t>+</m:t>
              </m:r>
              <m:d>
                <m:dPr>
                  <m:ctrlPr>
                    <w:rPr>
                      <w:rFonts w:ascii="Cambria Math" w:hAnsi="Cambria Math"/>
                      <w:i/>
                    </w:rPr>
                  </m:ctrlPr>
                </m:dPr>
                <m:e>
                  <m:r>
                    <w:rPr>
                      <w:rFonts w:ascii="Cambria Math" w:hAnsi="Cambria Math"/>
                    </w:rPr>
                    <m:t>∆α-α</m:t>
                  </m:r>
                  <m:f>
                    <m:fPr>
                      <m:ctrlPr>
                        <w:rPr>
                          <w:rFonts w:ascii="Cambria Math" w:hAnsi="Cambria Math"/>
                          <w:i/>
                        </w:rPr>
                      </m:ctrlPr>
                    </m:fPr>
                    <m:num>
                      <m:r>
                        <w:rPr>
                          <w:rFonts w:ascii="Cambria Math" w:hAnsi="Cambria Math"/>
                        </w:rPr>
                        <m:t>∆β</m:t>
                      </m:r>
                    </m:num>
                    <m:den>
                      <m:r>
                        <w:rPr>
                          <w:rFonts w:ascii="Cambria Math" w:hAnsi="Cambria Math"/>
                        </w:rPr>
                        <m:t>β</m:t>
                      </m:r>
                    </m:den>
                  </m:f>
                </m:e>
              </m:d>
              <m:func>
                <m:funcPr>
                  <m:ctrlPr>
                    <w:rPr>
                      <w:rFonts w:ascii="Cambria Math" w:hAnsi="Cambria Math"/>
                      <w:i/>
                    </w:rPr>
                  </m:ctrlPr>
                </m:funcPr>
                <m:fName>
                  <m:r>
                    <m:rPr>
                      <m:sty m:val="p"/>
                    </m:rPr>
                    <w:rPr>
                      <w:rFonts w:ascii="Cambria Math" w:hAnsi="Cambria Math"/>
                    </w:rPr>
                    <m:t>sin</m:t>
                  </m:r>
                </m:fName>
                <m:e>
                  <m:r>
                    <w:rPr>
                      <w:rFonts w:ascii="Cambria Math" w:hAnsi="Cambria Math"/>
                    </w:rPr>
                    <m:t>2ω</m:t>
                  </m:r>
                </m:e>
              </m:func>
            </m:e>
          </m:d>
        </m:oMath>
      </m:oMathPara>
    </w:p>
    <w:p w:rsidR="008E7969" w:rsidRDefault="000A39D6" w:rsidP="001F74EC">
      <w:pPr>
        <w:pStyle w:val="BodyTextNoIndent"/>
        <w:rPr>
          <w:rFonts w:ascii="Times" w:hAnsi="Times"/>
          <w:kern w:val="16"/>
        </w:rPr>
      </w:pPr>
      <w:proofErr w:type="gramStart"/>
      <w:r>
        <w:t>where</w:t>
      </w:r>
      <w:proofErr w:type="gramEnd"/>
      <w:r>
        <w:t xml:space="preserve"> </w:t>
      </w:r>
      <w:r w:rsidR="004A01A7">
        <w:t>υ</w:t>
      </w:r>
      <w:r>
        <w:t xml:space="preserve"> is the </w:t>
      </w:r>
      <w:proofErr w:type="spellStart"/>
      <w:r>
        <w:t>betatron</w:t>
      </w:r>
      <w:proofErr w:type="spellEnd"/>
      <w:r>
        <w:t xml:space="preserve"> </w:t>
      </w:r>
      <w:r w:rsidR="004A01A7">
        <w:t>tune multiplied by 2π</w:t>
      </w:r>
      <w:r w:rsidR="006752ED">
        <w:t xml:space="preserve">, and </w:t>
      </w:r>
      <w:r w:rsidR="006752ED" w:rsidRPr="006752ED">
        <w:rPr>
          <w:i/>
        </w:rPr>
        <w:t>n</w:t>
      </w:r>
      <w:r w:rsidR="006752ED">
        <w:t xml:space="preserve"> is the turn number</w:t>
      </w:r>
      <w:r>
        <w:t xml:space="preserve">. </w:t>
      </w:r>
      <w:r w:rsidR="00DD5A93" w:rsidRPr="00DD5A93">
        <w:rPr>
          <w:rFonts w:ascii="Times" w:hAnsi="Times"/>
          <w:kern w:val="16"/>
        </w:rPr>
        <w:t>A</w:t>
      </w:r>
      <w:r w:rsidR="00DD5A93">
        <w:rPr>
          <w:kern w:val="16"/>
        </w:rPr>
        <w:t xml:space="preserve"> </w:t>
      </w:r>
      <w:r>
        <w:rPr>
          <w:kern w:val="16"/>
        </w:rPr>
        <w:t xml:space="preserve">dimensionless </w:t>
      </w:r>
      <w:r w:rsidR="00DD5A93">
        <w:rPr>
          <w:kern w:val="16"/>
        </w:rPr>
        <w:t xml:space="preserve">mismatch vector </w:t>
      </w:r>
      <w:r w:rsidR="00DD5A93" w:rsidRPr="00DD5A93">
        <w:rPr>
          <w:i/>
          <w:kern w:val="16"/>
        </w:rPr>
        <w:t>m</w:t>
      </w:r>
      <w:proofErr w:type="gramStart"/>
      <w:r w:rsidR="00DD5A93" w:rsidRPr="00DD5A93">
        <w:rPr>
          <w:i/>
          <w:kern w:val="16"/>
        </w:rPr>
        <w:t>=</w:t>
      </w:r>
      <w:r w:rsidR="00DD5A93">
        <w:rPr>
          <w:i/>
          <w:kern w:val="16"/>
        </w:rPr>
        <w:t>{</w:t>
      </w:r>
      <w:proofErr w:type="spellStart"/>
      <w:proofErr w:type="gramEnd"/>
      <w:r w:rsidR="00DD5A93">
        <w:rPr>
          <w:i/>
          <w:kern w:val="16"/>
        </w:rPr>
        <w:t>Δβ</w:t>
      </w:r>
      <w:proofErr w:type="spellEnd"/>
      <w:r w:rsidR="00DD5A93">
        <w:rPr>
          <w:i/>
          <w:kern w:val="16"/>
        </w:rPr>
        <w:t>/β,</w:t>
      </w:r>
      <w:r w:rsidR="00DD5A93" w:rsidRPr="00DD5A93">
        <w:rPr>
          <w:i/>
          <w:kern w:val="16"/>
        </w:rPr>
        <w:t xml:space="preserve"> </w:t>
      </w:r>
      <w:proofErr w:type="spellStart"/>
      <w:r w:rsidR="00DD5A93">
        <w:rPr>
          <w:i/>
          <w:kern w:val="16"/>
        </w:rPr>
        <w:t>Δα</w:t>
      </w:r>
      <w:proofErr w:type="spellEnd"/>
      <w:r w:rsidR="00DD5A93">
        <w:rPr>
          <w:i/>
          <w:kern w:val="16"/>
        </w:rPr>
        <w:t xml:space="preserve">-α </w:t>
      </w:r>
      <w:proofErr w:type="spellStart"/>
      <w:r w:rsidR="00DD5A93">
        <w:rPr>
          <w:i/>
          <w:kern w:val="16"/>
        </w:rPr>
        <w:t>Δβ</w:t>
      </w:r>
      <w:proofErr w:type="spellEnd"/>
      <w:r w:rsidR="00DD5A93">
        <w:rPr>
          <w:i/>
          <w:kern w:val="16"/>
        </w:rPr>
        <w:t>/β}</w:t>
      </w:r>
      <w:r w:rsidR="0017277B">
        <w:rPr>
          <w:kern w:val="16"/>
        </w:rPr>
        <w:t xml:space="preserve"> may </w:t>
      </w:r>
      <w:r>
        <w:rPr>
          <w:kern w:val="16"/>
        </w:rPr>
        <w:t xml:space="preserve">therefore </w:t>
      </w:r>
      <w:r w:rsidR="0017277B">
        <w:rPr>
          <w:kern w:val="16"/>
        </w:rPr>
        <w:t xml:space="preserve">be defined, and its value determined by fitting a sinusoidal curve with a frequency </w:t>
      </w:r>
      <w:r w:rsidR="0017277B" w:rsidRPr="00DD5A93">
        <w:rPr>
          <w:rFonts w:ascii="Times" w:hAnsi="Times"/>
          <w:i/>
          <w:kern w:val="16"/>
        </w:rPr>
        <w:t>2</w:t>
      </w:r>
      <w:r w:rsidR="006752ED">
        <w:t>υ</w:t>
      </w:r>
      <w:r w:rsidR="0017277B">
        <w:rPr>
          <w:rFonts w:ascii="Times" w:hAnsi="Times"/>
          <w:kern w:val="16"/>
        </w:rPr>
        <w:t xml:space="preserve"> to the beam size data</w:t>
      </w:r>
      <w:r>
        <w:rPr>
          <w:rFonts w:ascii="Times" w:hAnsi="Times"/>
          <w:kern w:val="16"/>
        </w:rPr>
        <w:t xml:space="preserve"> measured by the IPM</w:t>
      </w:r>
      <w:r w:rsidR="0017277B">
        <w:rPr>
          <w:rFonts w:ascii="Times" w:hAnsi="Times"/>
          <w:kern w:val="16"/>
        </w:rPr>
        <w:t>.</w:t>
      </w:r>
      <w:r>
        <w:rPr>
          <w:rFonts w:ascii="Times" w:hAnsi="Times"/>
          <w:kern w:val="16"/>
        </w:rPr>
        <w:t xml:space="preserve"> The mism</w:t>
      </w:r>
      <w:r w:rsidR="00724C4C">
        <w:rPr>
          <w:rFonts w:ascii="Times" w:hAnsi="Times"/>
          <w:kern w:val="16"/>
        </w:rPr>
        <w:t>atch vector may be viewed as</w:t>
      </w:r>
      <w:r>
        <w:rPr>
          <w:rFonts w:ascii="Times" w:hAnsi="Times"/>
          <w:kern w:val="16"/>
        </w:rPr>
        <w:t xml:space="preserve"> the analog of a position-angle error in the case of injection steering. </w:t>
      </w:r>
      <w:r w:rsidR="004A01A7">
        <w:rPr>
          <w:rFonts w:ascii="Times" w:hAnsi="Times"/>
          <w:kern w:val="16"/>
        </w:rPr>
        <w:t xml:space="preserve">The effect of a transfer line </w:t>
      </w:r>
      <w:proofErr w:type="spellStart"/>
      <w:r w:rsidR="004A01A7">
        <w:rPr>
          <w:rFonts w:ascii="Times" w:hAnsi="Times"/>
          <w:kern w:val="16"/>
        </w:rPr>
        <w:t>quadrupole</w:t>
      </w:r>
      <w:proofErr w:type="spellEnd"/>
      <w:r w:rsidR="004A01A7">
        <w:rPr>
          <w:rFonts w:ascii="Times" w:hAnsi="Times"/>
          <w:kern w:val="16"/>
        </w:rPr>
        <w:t xml:space="preserve"> on the mismatch vector can be calculated </w:t>
      </w:r>
      <w:proofErr w:type="gramStart"/>
      <w:r w:rsidR="004A01A7">
        <w:rPr>
          <w:rFonts w:ascii="Times" w:hAnsi="Times"/>
          <w:kern w:val="16"/>
        </w:rPr>
        <w:t>analytically[</w:t>
      </w:r>
      <w:proofErr w:type="gramEnd"/>
      <w:r w:rsidR="004A01A7">
        <w:rPr>
          <w:rFonts w:ascii="Times" w:hAnsi="Times"/>
          <w:kern w:val="16"/>
        </w:rPr>
        <w:t>3]</w:t>
      </w:r>
      <w:r w:rsidR="008E7969">
        <w:rPr>
          <w:rFonts w:ascii="Times" w:hAnsi="Times"/>
          <w:kern w:val="16"/>
        </w:rPr>
        <w:t>, but due to imperfect knowledge of the optics, it is often better to measure it</w:t>
      </w:r>
      <w:r w:rsidR="004A01A7">
        <w:rPr>
          <w:rFonts w:ascii="Times" w:hAnsi="Times"/>
          <w:kern w:val="16"/>
        </w:rPr>
        <w:t xml:space="preserve">. </w:t>
      </w:r>
      <w:r w:rsidR="008E7969">
        <w:rPr>
          <w:rFonts w:ascii="Times" w:hAnsi="Times"/>
          <w:kern w:val="16"/>
        </w:rPr>
        <w:t>A</w:t>
      </w:r>
      <w:r w:rsidR="002C2571">
        <w:rPr>
          <w:rFonts w:ascii="Times" w:hAnsi="Times"/>
          <w:kern w:val="16"/>
        </w:rPr>
        <w:t xml:space="preserve"> correction to the observed mismatch may </w:t>
      </w:r>
      <w:r w:rsidR="008E7969">
        <w:rPr>
          <w:rFonts w:ascii="Times" w:hAnsi="Times"/>
          <w:kern w:val="16"/>
        </w:rPr>
        <w:t xml:space="preserve">then </w:t>
      </w:r>
      <w:r w:rsidR="002C2571">
        <w:rPr>
          <w:rFonts w:ascii="Times" w:hAnsi="Times"/>
          <w:kern w:val="16"/>
        </w:rPr>
        <w:t xml:space="preserve">be found by solving a system of linear equations. Figures 1-2 show the </w:t>
      </w:r>
      <w:r w:rsidR="004A01A7">
        <w:rPr>
          <w:rFonts w:ascii="Times" w:hAnsi="Times"/>
          <w:kern w:val="16"/>
        </w:rPr>
        <w:t xml:space="preserve">measured </w:t>
      </w:r>
      <w:r w:rsidR="00A300BF">
        <w:rPr>
          <w:rFonts w:ascii="Times" w:hAnsi="Times"/>
          <w:kern w:val="16"/>
        </w:rPr>
        <w:t xml:space="preserve">effect of two </w:t>
      </w:r>
      <w:r w:rsidR="006752ED">
        <w:rPr>
          <w:rFonts w:ascii="Times" w:hAnsi="Times"/>
          <w:kern w:val="16"/>
        </w:rPr>
        <w:t>proton</w:t>
      </w:r>
      <w:r w:rsidR="002C2571">
        <w:rPr>
          <w:rFonts w:ascii="Times" w:hAnsi="Times"/>
          <w:kern w:val="16"/>
        </w:rPr>
        <w:t xml:space="preserve"> transfer line </w:t>
      </w:r>
      <w:proofErr w:type="spellStart"/>
      <w:r w:rsidR="002C2571">
        <w:rPr>
          <w:rFonts w:ascii="Times" w:hAnsi="Times"/>
          <w:kern w:val="16"/>
        </w:rPr>
        <w:t>quadrupoles</w:t>
      </w:r>
      <w:proofErr w:type="spellEnd"/>
      <w:r w:rsidR="002C2571">
        <w:rPr>
          <w:rFonts w:ascii="Times" w:hAnsi="Times"/>
          <w:kern w:val="16"/>
        </w:rPr>
        <w:t xml:space="preserve"> on the vertical mismatch vector.</w:t>
      </w:r>
      <w:r w:rsidR="001F74EC">
        <w:rPr>
          <w:rFonts w:ascii="Times" w:hAnsi="Times"/>
          <w:kern w:val="16"/>
        </w:rPr>
        <w:t xml:space="preserve"> The effects of the</w:t>
      </w:r>
      <w:r w:rsidR="008E7969">
        <w:rPr>
          <w:rFonts w:ascii="Times" w:hAnsi="Times"/>
          <w:kern w:val="16"/>
        </w:rPr>
        <w:t>se</w:t>
      </w:r>
      <w:r w:rsidR="001F74EC">
        <w:rPr>
          <w:rFonts w:ascii="Times" w:hAnsi="Times"/>
          <w:kern w:val="16"/>
        </w:rPr>
        <w:t xml:space="preserve"> </w:t>
      </w:r>
      <w:proofErr w:type="spellStart"/>
      <w:r w:rsidR="001F74EC">
        <w:rPr>
          <w:rFonts w:ascii="Times" w:hAnsi="Times"/>
          <w:kern w:val="16"/>
        </w:rPr>
        <w:t>quadrupoles</w:t>
      </w:r>
      <w:proofErr w:type="spellEnd"/>
      <w:r w:rsidR="001F74EC">
        <w:rPr>
          <w:rFonts w:ascii="Times" w:hAnsi="Times"/>
          <w:kern w:val="16"/>
        </w:rPr>
        <w:t xml:space="preserve"> are nearly orthogonal in the vertical plane, which simplifies correction. </w:t>
      </w:r>
    </w:p>
    <w:p w:rsidR="003F0DB2" w:rsidRPr="001F74EC" w:rsidRDefault="008E7969" w:rsidP="008E7969">
      <w:pPr>
        <w:pStyle w:val="BodyTextIndent"/>
        <w:rPr>
          <w:rFonts w:ascii="Times" w:hAnsi="Times"/>
          <w:kern w:val="16"/>
        </w:rPr>
      </w:pPr>
      <w:r>
        <w:t>S</w:t>
      </w:r>
      <w:r w:rsidR="003F0DB2">
        <w:t xml:space="preserve">ince </w:t>
      </w:r>
      <w:proofErr w:type="spellStart"/>
      <w:r w:rsidR="003F0DB2">
        <w:t>quadrupoles</w:t>
      </w:r>
      <w:proofErr w:type="spellEnd"/>
      <w:r w:rsidR="003F0DB2">
        <w:t xml:space="preserve"> affect both vertical and horizontal planes, both planes </w:t>
      </w:r>
      <w:r>
        <w:t>should</w:t>
      </w:r>
      <w:r w:rsidR="003F0DB2">
        <w:t xml:space="preserve"> be considered simultaneously when correcting the mismatch.</w:t>
      </w:r>
      <w:r w:rsidR="004E0DA2">
        <w:t xml:space="preserve"> </w:t>
      </w:r>
      <w:r w:rsidR="001F74EC">
        <w:t>As horizontal matching data is not yet available, the full correction has not been done.</w:t>
      </w:r>
      <w:r>
        <w:t xml:space="preserve"> However, since the effect of a </w:t>
      </w:r>
      <w:proofErr w:type="spellStart"/>
      <w:r>
        <w:t>quadrupole</w:t>
      </w:r>
      <w:proofErr w:type="spellEnd"/>
      <w:r>
        <w:t xml:space="preserve"> is proportional to the local beta function, a partial correction of the observed vertical mismatch was made using </w:t>
      </w:r>
      <w:proofErr w:type="spellStart"/>
      <w:r>
        <w:t>quadrupoles</w:t>
      </w:r>
      <w:proofErr w:type="spellEnd"/>
      <w:r>
        <w:t xml:space="preserve"> in locations with small horizontal beta functions. This correction reduced the vertical mismatch to below the noise level. </w:t>
      </w:r>
    </w:p>
    <w:p w:rsidR="001507DC" w:rsidRDefault="002C7A2E" w:rsidP="0091732B">
      <w:pPr>
        <w:pStyle w:val="BodyTextIndent"/>
        <w:ind w:firstLine="0"/>
        <w:rPr>
          <w:kern w:val="16"/>
        </w:rPr>
      </w:pPr>
      <w:r>
        <w:rPr>
          <w:noProof/>
        </w:rPr>
        <w:lastRenderedPageBreak/>
        <w:drawing>
          <wp:inline distT="0" distB="0" distL="0" distR="0">
            <wp:extent cx="2743200" cy="2733675"/>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2743200" cy="2733675"/>
                    </a:xfrm>
                    <a:prstGeom prst="rect">
                      <a:avLst/>
                    </a:prstGeom>
                    <a:noFill/>
                    <a:ln w="9525">
                      <a:noFill/>
                      <a:miter lim="800000"/>
                      <a:headEnd/>
                      <a:tailEnd/>
                    </a:ln>
                  </pic:spPr>
                </pic:pic>
              </a:graphicData>
            </a:graphic>
          </wp:inline>
        </w:drawing>
      </w:r>
    </w:p>
    <w:p w:rsidR="001507DC" w:rsidRDefault="00AF6059" w:rsidP="007C74B4">
      <w:pPr>
        <w:pStyle w:val="FigureCaptionMultiLine"/>
        <w:rPr>
          <w:kern w:val="16"/>
        </w:rPr>
      </w:pPr>
      <w:proofErr w:type="gramStart"/>
      <w:r>
        <w:rPr>
          <w:kern w:val="16"/>
        </w:rPr>
        <w:t>Figure 3</w:t>
      </w:r>
      <w:r w:rsidR="001507DC">
        <w:rPr>
          <w:kern w:val="16"/>
        </w:rPr>
        <w:t>.</w:t>
      </w:r>
      <w:proofErr w:type="gramEnd"/>
      <w:r w:rsidR="001507DC">
        <w:rPr>
          <w:kern w:val="16"/>
        </w:rPr>
        <w:t xml:space="preserve"> </w:t>
      </w:r>
      <w:proofErr w:type="gramStart"/>
      <w:r w:rsidR="009F6D3D">
        <w:rPr>
          <w:kern w:val="16"/>
        </w:rPr>
        <w:t xml:space="preserve">Vertical mismatch vector </w:t>
      </w:r>
      <w:r w:rsidR="001D5361">
        <w:rPr>
          <w:kern w:val="16"/>
        </w:rPr>
        <w:t xml:space="preserve">for different settings of the Q701 </w:t>
      </w:r>
      <w:proofErr w:type="spellStart"/>
      <w:r w:rsidR="001D5361">
        <w:rPr>
          <w:kern w:val="16"/>
        </w:rPr>
        <w:t>quadrupole</w:t>
      </w:r>
      <w:proofErr w:type="spellEnd"/>
      <w:r w:rsidR="001D5361">
        <w:rPr>
          <w:kern w:val="16"/>
        </w:rPr>
        <w:t>.</w:t>
      </w:r>
      <w:proofErr w:type="gramEnd"/>
      <w:r w:rsidR="001D5361">
        <w:rPr>
          <w:kern w:val="16"/>
        </w:rPr>
        <w:t xml:space="preserve"> Black is nominal current, red is </w:t>
      </w:r>
      <w:r>
        <w:rPr>
          <w:kern w:val="16"/>
        </w:rPr>
        <w:t xml:space="preserve">      </w:t>
      </w:r>
      <w:r w:rsidR="001D5361">
        <w:rPr>
          <w:kern w:val="16"/>
        </w:rPr>
        <w:t>-22A, green is -42A</w:t>
      </w:r>
    </w:p>
    <w:p w:rsidR="001507DC" w:rsidRDefault="004A01A7" w:rsidP="007C74B4">
      <w:pPr>
        <w:pStyle w:val="FigureCaptionMultiLine"/>
      </w:pPr>
      <w:r>
        <w:t xml:space="preserve"> </w:t>
      </w:r>
      <w:r w:rsidR="002C7A2E">
        <w:rPr>
          <w:noProof/>
        </w:rPr>
        <w:drawing>
          <wp:inline distT="0" distB="0" distL="0" distR="0">
            <wp:extent cx="2743200" cy="2733675"/>
            <wp:effectExtent l="1905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srcRect/>
                    <a:stretch>
                      <a:fillRect/>
                    </a:stretch>
                  </pic:blipFill>
                  <pic:spPr bwMode="auto">
                    <a:xfrm>
                      <a:off x="0" y="0"/>
                      <a:ext cx="2743200" cy="2733675"/>
                    </a:xfrm>
                    <a:prstGeom prst="rect">
                      <a:avLst/>
                    </a:prstGeom>
                    <a:noFill/>
                    <a:ln w="9525">
                      <a:noFill/>
                      <a:miter lim="800000"/>
                      <a:headEnd/>
                      <a:tailEnd/>
                    </a:ln>
                  </pic:spPr>
                </pic:pic>
              </a:graphicData>
            </a:graphic>
          </wp:inline>
        </w:drawing>
      </w:r>
    </w:p>
    <w:p w:rsidR="001D5361" w:rsidRDefault="00AF6059" w:rsidP="007C74B4">
      <w:pPr>
        <w:pStyle w:val="FigureCaptionMultiLine"/>
      </w:pPr>
      <w:proofErr w:type="gramStart"/>
      <w:r>
        <w:t>Figure 4</w:t>
      </w:r>
      <w:r w:rsidR="009F6D3D">
        <w:t>.</w:t>
      </w:r>
      <w:proofErr w:type="gramEnd"/>
      <w:r w:rsidR="009F6D3D">
        <w:t xml:space="preserve"> </w:t>
      </w:r>
      <w:proofErr w:type="gramStart"/>
      <w:r w:rsidR="009F6D3D">
        <w:t xml:space="preserve">Vertical mismatch </w:t>
      </w:r>
      <w:r w:rsidR="001D5361">
        <w:t xml:space="preserve">for different settings of the Q711 </w:t>
      </w:r>
      <w:proofErr w:type="spellStart"/>
      <w:r w:rsidR="001D5361">
        <w:t>quadrupole</w:t>
      </w:r>
      <w:proofErr w:type="spellEnd"/>
      <w:r w:rsidR="001D5361">
        <w:t>.</w:t>
      </w:r>
      <w:proofErr w:type="gramEnd"/>
      <w:r w:rsidR="001D5361">
        <w:t xml:space="preserve"> Black is nominal current, red is +10A, green is +20A.</w:t>
      </w:r>
    </w:p>
    <w:p w:rsidR="001D5361" w:rsidRDefault="001D5361" w:rsidP="001507DC">
      <w:pPr>
        <w:pStyle w:val="BodyTextIndent"/>
      </w:pPr>
    </w:p>
    <w:p w:rsidR="001D5361" w:rsidRPr="001507DC" w:rsidRDefault="001D5361" w:rsidP="001507DC">
      <w:pPr>
        <w:pStyle w:val="BodyTextIndent"/>
      </w:pPr>
    </w:p>
    <w:p w:rsidR="006B17A6" w:rsidRDefault="000A01C2">
      <w:pPr>
        <w:pStyle w:val="Heading2"/>
      </w:pPr>
      <w:r>
        <w:t>Measurements oN pbars</w:t>
      </w:r>
    </w:p>
    <w:p w:rsidR="006B17A6" w:rsidRDefault="0091732B" w:rsidP="004E1D2C">
      <w:pPr>
        <w:pStyle w:val="BodyTextIndent"/>
        <w:rPr>
          <w:kern w:val="16"/>
        </w:rPr>
      </w:pPr>
      <w:r>
        <w:rPr>
          <w:kern w:val="16"/>
        </w:rPr>
        <w:t xml:space="preserve">The intensity of antiprotons is naturally lower than the intensity of protons, which translates into a smaller signal. However, for matching measurements this can be compensated to some degree because </w:t>
      </w:r>
      <w:proofErr w:type="spellStart"/>
      <w:r>
        <w:rPr>
          <w:kern w:val="16"/>
        </w:rPr>
        <w:t>pbars</w:t>
      </w:r>
      <w:proofErr w:type="spellEnd"/>
      <w:r>
        <w:rPr>
          <w:kern w:val="16"/>
        </w:rPr>
        <w:t xml:space="preserve"> are injected in groups of four.  With the </w:t>
      </w:r>
      <w:proofErr w:type="spellStart"/>
      <w:r>
        <w:rPr>
          <w:kern w:val="16"/>
        </w:rPr>
        <w:t>pbar</w:t>
      </w:r>
      <w:proofErr w:type="spellEnd"/>
      <w:r>
        <w:rPr>
          <w:kern w:val="16"/>
        </w:rPr>
        <w:t xml:space="preserve"> intensities achieved recently, adding up the four </w:t>
      </w:r>
      <w:proofErr w:type="spellStart"/>
      <w:r>
        <w:rPr>
          <w:kern w:val="16"/>
        </w:rPr>
        <w:t>pbar</w:t>
      </w:r>
      <w:proofErr w:type="spellEnd"/>
      <w:r>
        <w:rPr>
          <w:kern w:val="16"/>
        </w:rPr>
        <w:t xml:space="preserve"> profiles yields signals almost as strong as for a single proton bunch. </w:t>
      </w:r>
      <w:r w:rsidR="006803A1">
        <w:rPr>
          <w:kern w:val="16"/>
        </w:rPr>
        <w:t xml:space="preserve">Furthermore, the </w:t>
      </w:r>
      <w:proofErr w:type="spellStart"/>
      <w:r w:rsidR="006803A1">
        <w:rPr>
          <w:kern w:val="16"/>
        </w:rPr>
        <w:t>pbar</w:t>
      </w:r>
      <w:proofErr w:type="spellEnd"/>
      <w:r w:rsidR="006803A1">
        <w:rPr>
          <w:kern w:val="16"/>
        </w:rPr>
        <w:t xml:space="preserve"> </w:t>
      </w:r>
      <w:proofErr w:type="spellStart"/>
      <w:r w:rsidR="006803A1">
        <w:rPr>
          <w:kern w:val="16"/>
        </w:rPr>
        <w:t>emittance</w:t>
      </w:r>
      <w:proofErr w:type="spellEnd"/>
      <w:r w:rsidR="006803A1">
        <w:rPr>
          <w:kern w:val="16"/>
        </w:rPr>
        <w:t xml:space="preserve"> is significantly smaller than the proton beam size at injection. This makes it </w:t>
      </w:r>
      <w:r w:rsidR="006803A1">
        <w:rPr>
          <w:kern w:val="16"/>
        </w:rPr>
        <w:lastRenderedPageBreak/>
        <w:t xml:space="preserve">easier to measure the </w:t>
      </w:r>
      <w:proofErr w:type="spellStart"/>
      <w:r w:rsidR="006803A1">
        <w:rPr>
          <w:kern w:val="16"/>
        </w:rPr>
        <w:t>pbar</w:t>
      </w:r>
      <w:proofErr w:type="spellEnd"/>
      <w:r w:rsidR="006803A1">
        <w:rPr>
          <w:kern w:val="16"/>
        </w:rPr>
        <w:t xml:space="preserve"> profile, since the signal is spread over fewer channels.</w:t>
      </w:r>
    </w:p>
    <w:p w:rsidR="007062E1" w:rsidRDefault="007062E1" w:rsidP="004E1D2C">
      <w:pPr>
        <w:pStyle w:val="BodyTextIndent"/>
        <w:rPr>
          <w:kern w:val="16"/>
        </w:rPr>
      </w:pPr>
      <w:r>
        <w:rPr>
          <w:kern w:val="16"/>
        </w:rPr>
        <w:t xml:space="preserve">Injection matching measurements on </w:t>
      </w:r>
      <w:proofErr w:type="spellStart"/>
      <w:r>
        <w:rPr>
          <w:kern w:val="16"/>
        </w:rPr>
        <w:t>pbars</w:t>
      </w:r>
      <w:proofErr w:type="spellEnd"/>
      <w:r>
        <w:rPr>
          <w:kern w:val="16"/>
        </w:rPr>
        <w:t xml:space="preserve"> using the vertical IPM has indicated that the vertical plane is quite well matched. This conclusion is supported by reverse proton injection (protons being sent back into Main Injector from the </w:t>
      </w:r>
      <w:proofErr w:type="spellStart"/>
      <w:r>
        <w:rPr>
          <w:kern w:val="16"/>
        </w:rPr>
        <w:t>Tevatron</w:t>
      </w:r>
      <w:proofErr w:type="spellEnd"/>
      <w:r>
        <w:rPr>
          <w:kern w:val="16"/>
        </w:rPr>
        <w:t xml:space="preserve"> via the </w:t>
      </w:r>
      <w:proofErr w:type="spellStart"/>
      <w:r>
        <w:rPr>
          <w:kern w:val="16"/>
        </w:rPr>
        <w:t>pbar</w:t>
      </w:r>
      <w:proofErr w:type="spellEnd"/>
      <w:r>
        <w:rPr>
          <w:kern w:val="16"/>
        </w:rPr>
        <w:t xml:space="preserve"> transfer line) measurements using the Main Injector IPMs. Reverse proton measurements also indicate that there is a significant </w:t>
      </w:r>
      <w:r w:rsidR="003F0DB2">
        <w:rPr>
          <w:kern w:val="16"/>
        </w:rPr>
        <w:t xml:space="preserve">horizontal </w:t>
      </w:r>
      <w:proofErr w:type="spellStart"/>
      <w:r w:rsidR="003F0DB2">
        <w:rPr>
          <w:kern w:val="16"/>
        </w:rPr>
        <w:t>pbar</w:t>
      </w:r>
      <w:proofErr w:type="spellEnd"/>
      <w:r w:rsidR="003F0DB2">
        <w:rPr>
          <w:kern w:val="16"/>
        </w:rPr>
        <w:t xml:space="preserve"> mismatch, although due to the limited active width of the prototype system it has not yet been possible to verify this with </w:t>
      </w:r>
      <w:proofErr w:type="spellStart"/>
      <w:r w:rsidR="003F0DB2">
        <w:rPr>
          <w:kern w:val="16"/>
        </w:rPr>
        <w:t>pbars</w:t>
      </w:r>
      <w:proofErr w:type="spellEnd"/>
      <w:r w:rsidR="003F0DB2">
        <w:rPr>
          <w:kern w:val="16"/>
        </w:rPr>
        <w:t>.</w:t>
      </w:r>
    </w:p>
    <w:p w:rsidR="007062E1" w:rsidRDefault="007062E1" w:rsidP="004E1D2C">
      <w:pPr>
        <w:pStyle w:val="BodyTextIndent"/>
        <w:rPr>
          <w:kern w:val="16"/>
        </w:rPr>
      </w:pPr>
      <w:r>
        <w:rPr>
          <w:kern w:val="16"/>
        </w:rPr>
        <w:t xml:space="preserve"> </w:t>
      </w:r>
    </w:p>
    <w:p w:rsidR="00A254B1" w:rsidRDefault="002C7A2E" w:rsidP="0091732B">
      <w:pPr>
        <w:pStyle w:val="BodyTextIndent"/>
        <w:ind w:firstLine="0"/>
      </w:pPr>
      <w:r>
        <w:rPr>
          <w:noProof/>
        </w:rPr>
        <w:drawing>
          <wp:inline distT="0" distB="0" distL="0" distR="0">
            <wp:extent cx="2743200" cy="1676400"/>
            <wp:effectExtent l="1905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srcRect/>
                    <a:stretch>
                      <a:fillRect/>
                    </a:stretch>
                  </pic:blipFill>
                  <pic:spPr bwMode="auto">
                    <a:xfrm>
                      <a:off x="0" y="0"/>
                      <a:ext cx="2743200" cy="1676400"/>
                    </a:xfrm>
                    <a:prstGeom prst="rect">
                      <a:avLst/>
                    </a:prstGeom>
                    <a:noFill/>
                    <a:ln w="9525">
                      <a:noFill/>
                      <a:miter lim="800000"/>
                      <a:headEnd/>
                      <a:tailEnd/>
                    </a:ln>
                  </pic:spPr>
                </pic:pic>
              </a:graphicData>
            </a:graphic>
          </wp:inline>
        </w:drawing>
      </w:r>
    </w:p>
    <w:p w:rsidR="00A254B1" w:rsidRDefault="00AF6059" w:rsidP="00A254B1">
      <w:pPr>
        <w:pStyle w:val="FigureCaptionMultiLine"/>
      </w:pPr>
      <w:proofErr w:type="gramStart"/>
      <w:r>
        <w:t>Figure 5</w:t>
      </w:r>
      <w:r w:rsidR="00A254B1">
        <w:t>.</w:t>
      </w:r>
      <w:proofErr w:type="gramEnd"/>
      <w:r w:rsidR="00A254B1">
        <w:t xml:space="preserve"> Vertical </w:t>
      </w:r>
      <w:proofErr w:type="spellStart"/>
      <w:r w:rsidR="00A254B1">
        <w:t>pbar</w:t>
      </w:r>
      <w:proofErr w:type="spellEnd"/>
      <w:r w:rsidR="00A254B1">
        <w:t xml:space="preserve"> bunch size, averaged over the four bunches in the transfer</w:t>
      </w:r>
      <w:r>
        <w:t xml:space="preserve"> batch</w:t>
      </w:r>
      <w:r w:rsidR="00A254B1">
        <w:t>, for the first 175 turns</w:t>
      </w:r>
      <w:r w:rsidR="006A74C4">
        <w:t xml:space="preserve"> following injection</w:t>
      </w:r>
      <w:r w:rsidR="00A254B1">
        <w:t>. No significant mismatch is apparent.</w:t>
      </w:r>
    </w:p>
    <w:p w:rsidR="00A254B1" w:rsidRDefault="00A254B1" w:rsidP="004E1D2C">
      <w:pPr>
        <w:pStyle w:val="BodyTextIndent"/>
        <w:rPr>
          <w:kern w:val="16"/>
        </w:rPr>
      </w:pPr>
    </w:p>
    <w:p w:rsidR="006B17A6" w:rsidRDefault="004E1D2C">
      <w:pPr>
        <w:pStyle w:val="Heading2"/>
      </w:pPr>
      <w:r>
        <w:lastRenderedPageBreak/>
        <w:t>Future plans</w:t>
      </w:r>
    </w:p>
    <w:p w:rsidR="006B17A6" w:rsidRDefault="007C74B4" w:rsidP="004E1D2C">
      <w:pPr>
        <w:pStyle w:val="BodyTextIndent"/>
      </w:pPr>
      <w:r>
        <w:t>A</w:t>
      </w:r>
      <w:r w:rsidR="004E0DA2">
        <w:t>t</w:t>
      </w:r>
      <w:r>
        <w:t xml:space="preserve"> the moment, the horizontal IPM with the production boards is still being tested. Some issues with synchronization between multiple boards</w:t>
      </w:r>
      <w:r w:rsidR="007062E1">
        <w:t xml:space="preserve"> have been identified. Once thes</w:t>
      </w:r>
      <w:r>
        <w:t xml:space="preserve">e problems are sorted out, </w:t>
      </w:r>
      <w:r w:rsidR="007062E1">
        <w:t>the vertical system will be retro-fitted with new boards</w:t>
      </w:r>
      <w:r w:rsidR="003F0DB2">
        <w:t>. This will allow the mismatc</w:t>
      </w:r>
      <w:r w:rsidR="004E0DA2">
        <w:t>h of both planes to be measured and corrected</w:t>
      </w:r>
      <w:r w:rsidR="003F0DB2">
        <w:t xml:space="preserve"> simultaneously.</w:t>
      </w:r>
    </w:p>
    <w:p w:rsidR="004E1D2C" w:rsidRDefault="004E1D2C" w:rsidP="004E1D2C">
      <w:pPr>
        <w:pStyle w:val="BodyTextIndent"/>
      </w:pPr>
    </w:p>
    <w:p w:rsidR="004E1D2C" w:rsidRDefault="004E1D2C" w:rsidP="004E1D2C">
      <w:pPr>
        <w:pStyle w:val="Heading2"/>
      </w:pPr>
      <w:r>
        <w:t>SUMMARY</w:t>
      </w:r>
    </w:p>
    <w:p w:rsidR="004E1D2C" w:rsidRPr="00C86190" w:rsidRDefault="003F0DB2" w:rsidP="004E1D2C">
      <w:pPr>
        <w:pStyle w:val="BodyTextIndent"/>
      </w:pPr>
      <w:r>
        <w:t xml:space="preserve">The </w:t>
      </w:r>
      <w:proofErr w:type="spellStart"/>
      <w:r>
        <w:t>Tevatron</w:t>
      </w:r>
      <w:proofErr w:type="spellEnd"/>
      <w:r>
        <w:t xml:space="preserve"> IPMs are capable of measuring single </w:t>
      </w:r>
      <w:r w:rsidR="004E0DA2">
        <w:t xml:space="preserve">bunches of protons and </w:t>
      </w:r>
      <w:proofErr w:type="spellStart"/>
      <w:r w:rsidR="004E0DA2">
        <w:t>pbars</w:t>
      </w:r>
      <w:proofErr w:type="spellEnd"/>
      <w:r w:rsidR="004E0DA2">
        <w:t xml:space="preserve"> turn-by-turn at injection and high energy. A significant vertica</w:t>
      </w:r>
      <w:r w:rsidR="006D7374">
        <w:t xml:space="preserve">l proton injection mismatch was observed and corrected. For </w:t>
      </w:r>
      <w:proofErr w:type="spellStart"/>
      <w:r w:rsidR="006D7374">
        <w:t>pbars</w:t>
      </w:r>
      <w:proofErr w:type="spellEnd"/>
      <w:r w:rsidR="006752ED">
        <w:t xml:space="preserve">, no </w:t>
      </w:r>
      <w:proofErr w:type="gramStart"/>
      <w:r w:rsidR="006752ED">
        <w:t xml:space="preserve">significant </w:t>
      </w:r>
      <w:r w:rsidR="006D7374">
        <w:t xml:space="preserve"> </w:t>
      </w:r>
      <w:r w:rsidR="00A300BF">
        <w:t>v</w:t>
      </w:r>
      <w:r w:rsidR="006752ED">
        <w:t>ertical</w:t>
      </w:r>
      <w:proofErr w:type="gramEnd"/>
      <w:r w:rsidR="006752ED">
        <w:t xml:space="preserve"> </w:t>
      </w:r>
      <w:r w:rsidR="006D7374">
        <w:t>injection</w:t>
      </w:r>
      <w:r w:rsidR="006752ED">
        <w:t xml:space="preserve"> was observed. Horizontal measurements should be available soon.</w:t>
      </w:r>
    </w:p>
    <w:p w:rsidR="004E1D2C" w:rsidRPr="00C86190" w:rsidRDefault="004E1D2C" w:rsidP="004E1D2C">
      <w:pPr>
        <w:pStyle w:val="BodyTextIndent"/>
      </w:pPr>
    </w:p>
    <w:p w:rsidR="006B17A6" w:rsidRDefault="006B17A6">
      <w:pPr>
        <w:pStyle w:val="Heading2"/>
      </w:pPr>
      <w:r>
        <w:t>References</w:t>
      </w:r>
    </w:p>
    <w:p w:rsidR="004E1D2C" w:rsidRDefault="006B17A6" w:rsidP="0098471A">
      <w:pPr>
        <w:pStyle w:val="ReferenceText"/>
        <w:rPr>
          <w:rFonts w:ascii="Times New Roman" w:hAnsi="Times New Roman"/>
        </w:rPr>
      </w:pPr>
      <w:r w:rsidRPr="00B43D37">
        <w:rPr>
          <w:rFonts w:ascii="Times New Roman" w:hAnsi="Times New Roman"/>
        </w:rPr>
        <w:t>[1]</w:t>
      </w:r>
      <w:r w:rsidR="00E02D4D" w:rsidRPr="00B43D37">
        <w:rPr>
          <w:rFonts w:ascii="Times New Roman" w:hAnsi="Times New Roman"/>
        </w:rPr>
        <w:tab/>
      </w:r>
      <w:r w:rsidR="004E1D2C" w:rsidRPr="004E1D2C">
        <w:rPr>
          <w:rFonts w:ascii="Times New Roman" w:hAnsi="Times New Roman"/>
        </w:rPr>
        <w:t xml:space="preserve">A. Jansson et al, The </w:t>
      </w:r>
      <w:proofErr w:type="spellStart"/>
      <w:r w:rsidR="004E1D2C" w:rsidRPr="004E1D2C">
        <w:rPr>
          <w:rFonts w:ascii="Times New Roman" w:hAnsi="Times New Roman"/>
        </w:rPr>
        <w:t>Tevatron</w:t>
      </w:r>
      <w:proofErr w:type="spellEnd"/>
      <w:r w:rsidR="004E1D2C" w:rsidRPr="004E1D2C">
        <w:rPr>
          <w:rFonts w:ascii="Times New Roman" w:hAnsi="Times New Roman"/>
        </w:rPr>
        <w:t xml:space="preserve"> Ionization Profile Monitors, 12</w:t>
      </w:r>
      <w:r w:rsidR="004E1D2C" w:rsidRPr="00DD5A93">
        <w:rPr>
          <w:rFonts w:ascii="Times New Roman" w:hAnsi="Times New Roman"/>
          <w:vertAlign w:val="superscript"/>
        </w:rPr>
        <w:t>th</w:t>
      </w:r>
      <w:r w:rsidR="00DD5A93">
        <w:rPr>
          <w:rFonts w:ascii="Times New Roman" w:hAnsi="Times New Roman"/>
        </w:rPr>
        <w:t xml:space="preserve"> </w:t>
      </w:r>
      <w:r w:rsidR="004E1D2C" w:rsidRPr="004E1D2C">
        <w:rPr>
          <w:rFonts w:ascii="Times New Roman" w:hAnsi="Times New Roman"/>
        </w:rPr>
        <w:t xml:space="preserve">Beam Instrumentation Workshop, </w:t>
      </w:r>
      <w:proofErr w:type="spellStart"/>
      <w:r w:rsidR="004E1D2C" w:rsidRPr="004E1D2C">
        <w:rPr>
          <w:rFonts w:ascii="Times New Roman" w:hAnsi="Times New Roman"/>
        </w:rPr>
        <w:t>Fermilab</w:t>
      </w:r>
      <w:proofErr w:type="spellEnd"/>
      <w:r w:rsidR="004E1D2C" w:rsidRPr="004E1D2C">
        <w:rPr>
          <w:rFonts w:ascii="Times New Roman" w:hAnsi="Times New Roman"/>
        </w:rPr>
        <w:t xml:space="preserve">, Batavia, IL, 2006. </w:t>
      </w:r>
    </w:p>
    <w:p w:rsidR="0003307C" w:rsidRPr="00B43D37" w:rsidRDefault="006B17A6" w:rsidP="0098471A">
      <w:pPr>
        <w:pStyle w:val="ReferenceText"/>
        <w:rPr>
          <w:rFonts w:ascii="Times New Roman" w:hAnsi="Times New Roman"/>
        </w:rPr>
      </w:pPr>
      <w:proofErr w:type="gramStart"/>
      <w:r w:rsidRPr="00B43D37">
        <w:rPr>
          <w:rFonts w:ascii="Times New Roman" w:hAnsi="Times New Roman"/>
        </w:rPr>
        <w:t>[2]</w:t>
      </w:r>
      <w:r w:rsidR="00E02D4D" w:rsidRPr="00B43D37">
        <w:rPr>
          <w:rFonts w:ascii="Times New Roman" w:hAnsi="Times New Roman"/>
        </w:rPr>
        <w:tab/>
      </w:r>
      <w:r w:rsidR="0003307C" w:rsidRPr="00B43D37">
        <w:rPr>
          <w:rFonts w:ascii="Times New Roman" w:hAnsi="Times New Roman"/>
        </w:rPr>
        <w:t xml:space="preserve">A. </w:t>
      </w:r>
      <w:r w:rsidR="00DD5A93">
        <w:rPr>
          <w:rFonts w:ascii="Times New Roman" w:hAnsi="Times New Roman"/>
        </w:rPr>
        <w:t>Jansson</w:t>
      </w:r>
      <w:r w:rsidR="0003307C" w:rsidRPr="00B43D37">
        <w:rPr>
          <w:rFonts w:ascii="Times New Roman" w:hAnsi="Times New Roman"/>
        </w:rPr>
        <w:t xml:space="preserve"> </w:t>
      </w:r>
      <w:r w:rsidR="004E1D2C">
        <w:rPr>
          <w:rFonts w:ascii="Times New Roman" w:hAnsi="Times New Roman"/>
        </w:rPr>
        <w:t xml:space="preserve">et al, </w:t>
      </w:r>
      <w:proofErr w:type="spellStart"/>
      <w:r w:rsidR="004E1D2C">
        <w:rPr>
          <w:rFonts w:ascii="Times New Roman" w:hAnsi="Times New Roman"/>
        </w:rPr>
        <w:t>Tevatron</w:t>
      </w:r>
      <w:proofErr w:type="spellEnd"/>
      <w:r w:rsidR="004E1D2C">
        <w:rPr>
          <w:rFonts w:ascii="Times New Roman" w:hAnsi="Times New Roman"/>
        </w:rPr>
        <w:t xml:space="preserve"> Ionization Profile Monitoring, </w:t>
      </w:r>
      <w:r w:rsidR="00DD5A93">
        <w:rPr>
          <w:rFonts w:ascii="Times New Roman" w:hAnsi="Times New Roman"/>
        </w:rPr>
        <w:t>10</w:t>
      </w:r>
      <w:r w:rsidR="00DD5A93" w:rsidRPr="00DD5A93">
        <w:rPr>
          <w:rFonts w:ascii="Times New Roman" w:hAnsi="Times New Roman"/>
          <w:vertAlign w:val="superscript"/>
        </w:rPr>
        <w:t>th</w:t>
      </w:r>
      <w:r w:rsidR="00DD5A93">
        <w:rPr>
          <w:rFonts w:ascii="Times New Roman" w:hAnsi="Times New Roman"/>
        </w:rPr>
        <w:t xml:space="preserve"> European Particle Accelerator Conference, Edinburgh, UK, 2006.</w:t>
      </w:r>
      <w:proofErr w:type="gramEnd"/>
    </w:p>
    <w:p w:rsidR="006B17A6" w:rsidRDefault="0003307C" w:rsidP="004A01A7">
      <w:pPr>
        <w:pStyle w:val="ReferenceText"/>
        <w:rPr>
          <w:rFonts w:ascii="Times New Roman" w:hAnsi="Times New Roman"/>
        </w:rPr>
      </w:pPr>
      <w:proofErr w:type="gramStart"/>
      <w:r w:rsidRPr="00B43D37">
        <w:rPr>
          <w:rFonts w:ascii="Times New Roman" w:hAnsi="Times New Roman"/>
        </w:rPr>
        <w:t>[3]</w:t>
      </w:r>
      <w:r w:rsidR="00E02D4D" w:rsidRPr="00B43D37">
        <w:rPr>
          <w:rFonts w:ascii="Times New Roman" w:hAnsi="Times New Roman"/>
        </w:rPr>
        <w:tab/>
      </w:r>
      <w:r w:rsidR="004A01A7">
        <w:rPr>
          <w:rFonts w:ascii="Times New Roman" w:hAnsi="Times New Roman"/>
        </w:rPr>
        <w:t xml:space="preserve">B. </w:t>
      </w:r>
      <w:proofErr w:type="spellStart"/>
      <w:r w:rsidR="004A01A7">
        <w:rPr>
          <w:rFonts w:ascii="Times New Roman" w:hAnsi="Times New Roman"/>
        </w:rPr>
        <w:t>Autin</w:t>
      </w:r>
      <w:proofErr w:type="spellEnd"/>
      <w:r w:rsidR="004A01A7">
        <w:rPr>
          <w:rFonts w:ascii="Times New Roman" w:hAnsi="Times New Roman"/>
        </w:rPr>
        <w:t xml:space="preserve"> et al, “</w:t>
      </w:r>
      <w:proofErr w:type="spellStart"/>
      <w:r w:rsidR="004A01A7">
        <w:rPr>
          <w:rFonts w:ascii="Times New Roman" w:hAnsi="Times New Roman"/>
        </w:rPr>
        <w:t>Emittance</w:t>
      </w:r>
      <w:proofErr w:type="spellEnd"/>
      <w:r w:rsidR="004A01A7">
        <w:rPr>
          <w:rFonts w:ascii="Times New Roman" w:hAnsi="Times New Roman"/>
        </w:rPr>
        <w:t xml:space="preserve"> Preservation in the PS Complex”, PAC’07, Vancouver, CA.</w:t>
      </w:r>
      <w:proofErr w:type="gramEnd"/>
    </w:p>
    <w:p w:rsidR="008E7969" w:rsidRPr="004A01A7" w:rsidRDefault="008E7969" w:rsidP="004A01A7">
      <w:pPr>
        <w:pStyle w:val="ReferenceText"/>
        <w:rPr>
          <w:rFonts w:ascii="Times New Roman" w:hAnsi="Times New Roman"/>
        </w:rPr>
        <w:sectPr w:rsidR="008E7969" w:rsidRPr="004A01A7">
          <w:footnotePr>
            <w:pos w:val="beneathText"/>
            <w:numFmt w:val="chicago"/>
          </w:footnotePr>
          <w:endnotePr>
            <w:numFmt w:val="decimal"/>
          </w:endnotePr>
          <w:type w:val="continuous"/>
          <w:pgSz w:w="12240" w:h="15840"/>
          <w:pgMar w:top="1080" w:right="1440" w:bottom="1080" w:left="1138" w:header="720" w:footer="720" w:gutter="0"/>
          <w:cols w:num="2" w:space="288"/>
          <w:docGrid w:linePitch="360"/>
        </w:sectPr>
      </w:pPr>
    </w:p>
    <w:p w:rsidR="008841F0" w:rsidRPr="008841F0" w:rsidRDefault="008841F0" w:rsidP="00C95478">
      <w:pPr>
        <w:pStyle w:val="BodyTextIndent"/>
        <w:rPr>
          <w:rStyle w:val="FootnoteReference"/>
        </w:rPr>
      </w:pPr>
    </w:p>
    <w:sectPr w:rsidR="008841F0" w:rsidRPr="008841F0" w:rsidSect="008417B1">
      <w:footnotePr>
        <w:pos w:val="beneathText"/>
        <w:numFmt w:val="chicago"/>
      </w:footnotePr>
      <w:endnotePr>
        <w:numFmt w:val="decimal"/>
      </w:endnotePr>
      <w:type w:val="continuous"/>
      <w:pgSz w:w="12240" w:h="15840"/>
      <w:pgMar w:top="1080" w:right="1440" w:bottom="1080" w:left="1138" w:header="720" w:footer="720" w:gutter="0"/>
      <w:cols w:num="2" w:space="28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F6B58" w:rsidRDefault="00FF6B58"/>
  </w:endnote>
  <w:endnote w:type="continuationSeparator" w:id="1">
    <w:p w:rsidR="00FF6B58" w:rsidRDefault="00FF6B58">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Math">
    <w:panose1 w:val="02040503050406030204"/>
    <w:charset w:val="00"/>
    <w:family w:val="roman"/>
    <w:pitch w:val="variable"/>
    <w:sig w:usb0="A00002EF" w:usb1="420020E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F6B58" w:rsidRDefault="00FF6B58">
      <w:r>
        <w:separator/>
      </w:r>
    </w:p>
  </w:footnote>
  <w:footnote w:type="continuationSeparator" w:id="1">
    <w:p w:rsidR="00FF6B58" w:rsidRDefault="00FF6B58">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324CD7"/>
    <w:multiLevelType w:val="hybridMultilevel"/>
    <w:tmpl w:val="6E6C9136"/>
    <w:lvl w:ilvl="0" w:tplc="5FD29534">
      <w:start w:val="1"/>
      <w:numFmt w:val="bullet"/>
      <w:pStyle w:val="BulletedList"/>
      <w:lvlText w:val=""/>
      <w:lvlJc w:val="left"/>
      <w:pPr>
        <w:tabs>
          <w:tab w:val="num" w:pos="389"/>
        </w:tabs>
        <w:ind w:left="389" w:hanging="202"/>
      </w:pPr>
      <w:rPr>
        <w:rFonts w:ascii="Symbol" w:hAnsi="Symbol" w:hint="default"/>
      </w:rPr>
    </w:lvl>
    <w:lvl w:ilvl="1" w:tplc="04090003" w:tentative="1">
      <w:start w:val="1"/>
      <w:numFmt w:val="bullet"/>
      <w:lvlText w:val="o"/>
      <w:lvlJc w:val="left"/>
      <w:pPr>
        <w:tabs>
          <w:tab w:val="num" w:pos="1620"/>
        </w:tabs>
        <w:ind w:left="1620" w:hanging="360"/>
      </w:pPr>
      <w:rPr>
        <w:rFonts w:ascii="Courier New" w:hAnsi="Courier New" w:hint="default"/>
      </w:rPr>
    </w:lvl>
    <w:lvl w:ilvl="2" w:tplc="04090005" w:tentative="1">
      <w:start w:val="1"/>
      <w:numFmt w:val="bullet"/>
      <w:lvlText w:val=""/>
      <w:lvlJc w:val="left"/>
      <w:pPr>
        <w:tabs>
          <w:tab w:val="num" w:pos="2340"/>
        </w:tabs>
        <w:ind w:left="2340" w:hanging="360"/>
      </w:pPr>
      <w:rPr>
        <w:rFonts w:ascii="Wingdings" w:hAnsi="Wingdings" w:hint="default"/>
      </w:rPr>
    </w:lvl>
    <w:lvl w:ilvl="3" w:tplc="04090001" w:tentative="1">
      <w:start w:val="1"/>
      <w:numFmt w:val="bullet"/>
      <w:lvlText w:val=""/>
      <w:lvlJc w:val="left"/>
      <w:pPr>
        <w:tabs>
          <w:tab w:val="num" w:pos="3060"/>
        </w:tabs>
        <w:ind w:left="3060" w:hanging="360"/>
      </w:pPr>
      <w:rPr>
        <w:rFonts w:ascii="Symbol" w:hAnsi="Symbol" w:hint="default"/>
      </w:rPr>
    </w:lvl>
    <w:lvl w:ilvl="4" w:tplc="04090003" w:tentative="1">
      <w:start w:val="1"/>
      <w:numFmt w:val="bullet"/>
      <w:lvlText w:val="o"/>
      <w:lvlJc w:val="left"/>
      <w:pPr>
        <w:tabs>
          <w:tab w:val="num" w:pos="3780"/>
        </w:tabs>
        <w:ind w:left="3780" w:hanging="360"/>
      </w:pPr>
      <w:rPr>
        <w:rFonts w:ascii="Courier New" w:hAnsi="Courier New" w:hint="default"/>
      </w:rPr>
    </w:lvl>
    <w:lvl w:ilvl="5" w:tplc="04090005" w:tentative="1">
      <w:start w:val="1"/>
      <w:numFmt w:val="bullet"/>
      <w:lvlText w:val=""/>
      <w:lvlJc w:val="left"/>
      <w:pPr>
        <w:tabs>
          <w:tab w:val="num" w:pos="4500"/>
        </w:tabs>
        <w:ind w:left="4500" w:hanging="360"/>
      </w:pPr>
      <w:rPr>
        <w:rFonts w:ascii="Wingdings" w:hAnsi="Wingdings" w:hint="default"/>
      </w:rPr>
    </w:lvl>
    <w:lvl w:ilvl="6" w:tplc="04090001" w:tentative="1">
      <w:start w:val="1"/>
      <w:numFmt w:val="bullet"/>
      <w:lvlText w:val=""/>
      <w:lvlJc w:val="left"/>
      <w:pPr>
        <w:tabs>
          <w:tab w:val="num" w:pos="5220"/>
        </w:tabs>
        <w:ind w:left="5220" w:hanging="360"/>
      </w:pPr>
      <w:rPr>
        <w:rFonts w:ascii="Symbol" w:hAnsi="Symbol" w:hint="default"/>
      </w:rPr>
    </w:lvl>
    <w:lvl w:ilvl="7" w:tplc="04090003" w:tentative="1">
      <w:start w:val="1"/>
      <w:numFmt w:val="bullet"/>
      <w:lvlText w:val="o"/>
      <w:lvlJc w:val="left"/>
      <w:pPr>
        <w:tabs>
          <w:tab w:val="num" w:pos="5940"/>
        </w:tabs>
        <w:ind w:left="5940" w:hanging="360"/>
      </w:pPr>
      <w:rPr>
        <w:rFonts w:ascii="Courier New" w:hAnsi="Courier New" w:hint="default"/>
      </w:rPr>
    </w:lvl>
    <w:lvl w:ilvl="8" w:tplc="04090005" w:tentative="1">
      <w:start w:val="1"/>
      <w:numFmt w:val="bullet"/>
      <w:lvlText w:val=""/>
      <w:lvlJc w:val="left"/>
      <w:pPr>
        <w:tabs>
          <w:tab w:val="num" w:pos="6660"/>
        </w:tabs>
        <w:ind w:left="6660" w:hanging="360"/>
      </w:pPr>
      <w:rPr>
        <w:rFonts w:ascii="Wingdings" w:hAnsi="Wingdings" w:hint="default"/>
      </w:rPr>
    </w:lvl>
  </w:abstractNum>
  <w:abstractNum w:abstractNumId="1">
    <w:nsid w:val="21EA3E2E"/>
    <w:multiLevelType w:val="multilevel"/>
    <w:tmpl w:val="40C67522"/>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
    <w:nsid w:val="2BFB794A"/>
    <w:multiLevelType w:val="hybridMultilevel"/>
    <w:tmpl w:val="8AEC144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C1427A8"/>
    <w:multiLevelType w:val="hybridMultilevel"/>
    <w:tmpl w:val="EB4421A4"/>
    <w:lvl w:ilvl="0" w:tplc="0B0C3172">
      <w:start w:val="1"/>
      <w:numFmt w:val="decimal"/>
      <w:lvlText w:val="%1"/>
      <w:lvlJc w:val="left"/>
      <w:pPr>
        <w:tabs>
          <w:tab w:val="num" w:pos="360"/>
        </w:tabs>
        <w:ind w:left="360" w:hanging="360"/>
      </w:pPr>
      <w:rPr>
        <w:rFonts w:ascii="Times" w:hAnsi="Times" w:hint="default"/>
        <w:b/>
        <w:i w:val="0"/>
        <w:sz w:val="24"/>
      </w:rPr>
    </w:lvl>
    <w:lvl w:ilvl="1" w:tplc="5998AF30">
      <w:numFmt w:val="none"/>
      <w:lvlText w:val=""/>
      <w:lvlJc w:val="left"/>
      <w:pPr>
        <w:tabs>
          <w:tab w:val="num" w:pos="360"/>
        </w:tabs>
      </w:pPr>
    </w:lvl>
    <w:lvl w:ilvl="2" w:tplc="591CE01A">
      <w:numFmt w:val="none"/>
      <w:lvlText w:val=""/>
      <w:lvlJc w:val="left"/>
      <w:pPr>
        <w:tabs>
          <w:tab w:val="num" w:pos="360"/>
        </w:tabs>
      </w:pPr>
    </w:lvl>
    <w:lvl w:ilvl="3" w:tplc="FA94C716">
      <w:numFmt w:val="none"/>
      <w:lvlText w:val=""/>
      <w:lvlJc w:val="left"/>
      <w:pPr>
        <w:tabs>
          <w:tab w:val="num" w:pos="360"/>
        </w:tabs>
      </w:pPr>
    </w:lvl>
    <w:lvl w:ilvl="4" w:tplc="39747D28">
      <w:numFmt w:val="none"/>
      <w:lvlText w:val=""/>
      <w:lvlJc w:val="left"/>
      <w:pPr>
        <w:tabs>
          <w:tab w:val="num" w:pos="360"/>
        </w:tabs>
      </w:pPr>
    </w:lvl>
    <w:lvl w:ilvl="5" w:tplc="D5A0ED32">
      <w:numFmt w:val="none"/>
      <w:lvlText w:val=""/>
      <w:lvlJc w:val="left"/>
      <w:pPr>
        <w:tabs>
          <w:tab w:val="num" w:pos="360"/>
        </w:tabs>
      </w:pPr>
    </w:lvl>
    <w:lvl w:ilvl="6" w:tplc="5A12F32C">
      <w:numFmt w:val="none"/>
      <w:lvlText w:val=""/>
      <w:lvlJc w:val="left"/>
      <w:pPr>
        <w:tabs>
          <w:tab w:val="num" w:pos="360"/>
        </w:tabs>
      </w:pPr>
    </w:lvl>
    <w:lvl w:ilvl="7" w:tplc="626AD0DC">
      <w:numFmt w:val="none"/>
      <w:lvlText w:val=""/>
      <w:lvlJc w:val="left"/>
      <w:pPr>
        <w:tabs>
          <w:tab w:val="num" w:pos="360"/>
        </w:tabs>
      </w:pPr>
    </w:lvl>
    <w:lvl w:ilvl="8" w:tplc="16BA3EE8">
      <w:numFmt w:val="none"/>
      <w:lvlText w:val=""/>
      <w:lvlJc w:val="left"/>
      <w:pPr>
        <w:tabs>
          <w:tab w:val="num" w:pos="360"/>
        </w:tabs>
      </w:pPr>
    </w:lvl>
  </w:abstractNum>
  <w:abstractNum w:abstractNumId="4">
    <w:nsid w:val="778D3C5E"/>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abstractNumId w:val="3"/>
  </w:num>
  <w:num w:numId="2">
    <w:abstractNumId w:val="0"/>
  </w:num>
  <w:num w:numId="3">
    <w:abstractNumId w:val="1"/>
  </w:num>
  <w:num w:numId="4">
    <w:abstractNumId w:val="4"/>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attachedTemplate r:id="rId1"/>
  <w:stylePaneFormatFilter w:val="3001"/>
  <w:defaultTabStop w:val="720"/>
  <w:drawingGridHorizontalSpacing w:val="24"/>
  <w:displayHorizontalDrawingGridEvery w:val="2"/>
  <w:displayVerticalDrawingGridEvery w:val="2"/>
  <w:noPunctuationKerning/>
  <w:characterSpacingControl w:val="doNotCompress"/>
  <w:footnotePr>
    <w:pos w:val="beneathText"/>
    <w:numFmt w:val="chicago"/>
    <w:footnote w:id="0"/>
    <w:footnote w:id="1"/>
  </w:footnotePr>
  <w:endnotePr>
    <w:numFmt w:val="decimal"/>
    <w:endnote w:id="0"/>
    <w:endnote w:id="1"/>
  </w:endnotePr>
  <w:compat/>
  <w:rsids>
    <w:rsidRoot w:val="000A01C2"/>
    <w:rsid w:val="00006822"/>
    <w:rsid w:val="00011F0A"/>
    <w:rsid w:val="0003307C"/>
    <w:rsid w:val="0006687B"/>
    <w:rsid w:val="000A01C2"/>
    <w:rsid w:val="000A2B4A"/>
    <w:rsid w:val="000A39D6"/>
    <w:rsid w:val="000B0073"/>
    <w:rsid w:val="000C4FDC"/>
    <w:rsid w:val="000D36C2"/>
    <w:rsid w:val="000D7F83"/>
    <w:rsid w:val="00113FD9"/>
    <w:rsid w:val="001507DC"/>
    <w:rsid w:val="0016049F"/>
    <w:rsid w:val="00170166"/>
    <w:rsid w:val="0017277B"/>
    <w:rsid w:val="001825BD"/>
    <w:rsid w:val="001D3627"/>
    <w:rsid w:val="001D5361"/>
    <w:rsid w:val="001E3837"/>
    <w:rsid w:val="001F19AC"/>
    <w:rsid w:val="001F74EC"/>
    <w:rsid w:val="00200CBC"/>
    <w:rsid w:val="00216AC3"/>
    <w:rsid w:val="002517FE"/>
    <w:rsid w:val="00275715"/>
    <w:rsid w:val="002C2571"/>
    <w:rsid w:val="002C7A2E"/>
    <w:rsid w:val="002D31A5"/>
    <w:rsid w:val="002D3D5F"/>
    <w:rsid w:val="003515CF"/>
    <w:rsid w:val="003555BC"/>
    <w:rsid w:val="003759FE"/>
    <w:rsid w:val="003F0DB2"/>
    <w:rsid w:val="00407AE0"/>
    <w:rsid w:val="00494BAC"/>
    <w:rsid w:val="004A01A7"/>
    <w:rsid w:val="004A521C"/>
    <w:rsid w:val="004E0DA2"/>
    <w:rsid w:val="004E1D2C"/>
    <w:rsid w:val="00516F10"/>
    <w:rsid w:val="005C658E"/>
    <w:rsid w:val="00616BAF"/>
    <w:rsid w:val="006752ED"/>
    <w:rsid w:val="006803A1"/>
    <w:rsid w:val="00687555"/>
    <w:rsid w:val="00690AE0"/>
    <w:rsid w:val="006A74C4"/>
    <w:rsid w:val="006B17A6"/>
    <w:rsid w:val="006D7374"/>
    <w:rsid w:val="006E1184"/>
    <w:rsid w:val="007062E1"/>
    <w:rsid w:val="0071112C"/>
    <w:rsid w:val="00724C4C"/>
    <w:rsid w:val="007306F8"/>
    <w:rsid w:val="0075704D"/>
    <w:rsid w:val="007640CC"/>
    <w:rsid w:val="007B391B"/>
    <w:rsid w:val="007C74B4"/>
    <w:rsid w:val="007F6E9E"/>
    <w:rsid w:val="00811C3C"/>
    <w:rsid w:val="008417B1"/>
    <w:rsid w:val="008734FA"/>
    <w:rsid w:val="008841F0"/>
    <w:rsid w:val="008E7969"/>
    <w:rsid w:val="0091732B"/>
    <w:rsid w:val="00920FBF"/>
    <w:rsid w:val="00932691"/>
    <w:rsid w:val="009376AF"/>
    <w:rsid w:val="0098471A"/>
    <w:rsid w:val="00984E6B"/>
    <w:rsid w:val="009F6D3D"/>
    <w:rsid w:val="00A135FD"/>
    <w:rsid w:val="00A254B1"/>
    <w:rsid w:val="00A25D68"/>
    <w:rsid w:val="00A25F5F"/>
    <w:rsid w:val="00A2637F"/>
    <w:rsid w:val="00A300BF"/>
    <w:rsid w:val="00AD5152"/>
    <w:rsid w:val="00AF6059"/>
    <w:rsid w:val="00B0679B"/>
    <w:rsid w:val="00B2457E"/>
    <w:rsid w:val="00B43D37"/>
    <w:rsid w:val="00BA5F9A"/>
    <w:rsid w:val="00C3250F"/>
    <w:rsid w:val="00C86190"/>
    <w:rsid w:val="00C95478"/>
    <w:rsid w:val="00CC2C64"/>
    <w:rsid w:val="00CD6378"/>
    <w:rsid w:val="00CE132B"/>
    <w:rsid w:val="00D20CDA"/>
    <w:rsid w:val="00D26645"/>
    <w:rsid w:val="00DD5A93"/>
    <w:rsid w:val="00E02D4D"/>
    <w:rsid w:val="00E8080D"/>
    <w:rsid w:val="00EB1C71"/>
    <w:rsid w:val="00F14033"/>
    <w:rsid w:val="00F27144"/>
    <w:rsid w:val="00F5459B"/>
    <w:rsid w:val="00FF6B5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white" stroke="f">
      <v:fill color="white"/>
      <v:stroke on="f"/>
      <v:textbox inset=",0,,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semiHidden="0" w:uiPriority="35" w:unhideWhenUsed="0"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39D6"/>
    <w:pPr>
      <w:spacing w:after="200" w:line="276" w:lineRule="auto"/>
    </w:pPr>
    <w:rPr>
      <w:rFonts w:ascii="Calibri" w:hAnsi="Calibri"/>
      <w:sz w:val="22"/>
      <w:szCs w:val="22"/>
    </w:rPr>
  </w:style>
  <w:style w:type="paragraph" w:styleId="Heading1">
    <w:name w:val="heading 1"/>
    <w:aliases w:val="Paper Title"/>
    <w:next w:val="AuthorList"/>
    <w:qFormat/>
    <w:rsid w:val="00E8080D"/>
    <w:pPr>
      <w:keepNext/>
      <w:spacing w:after="60"/>
      <w:jc w:val="center"/>
      <w:outlineLvl w:val="0"/>
    </w:pPr>
    <w:rPr>
      <w:rFonts w:cs="Arial"/>
      <w:b/>
      <w:bCs/>
      <w:caps/>
      <w:kern w:val="32"/>
      <w:sz w:val="28"/>
      <w:szCs w:val="32"/>
    </w:rPr>
  </w:style>
  <w:style w:type="paragraph" w:styleId="Heading2">
    <w:name w:val="heading 2"/>
    <w:aliases w:val="Section Heading"/>
    <w:next w:val="BodyTextIndent"/>
    <w:qFormat/>
    <w:rsid w:val="00E8080D"/>
    <w:pPr>
      <w:keepNext/>
      <w:spacing w:before="240" w:after="60"/>
      <w:jc w:val="center"/>
      <w:outlineLvl w:val="1"/>
    </w:pPr>
    <w:rPr>
      <w:rFonts w:cs="Arial"/>
      <w:b/>
      <w:bCs/>
      <w:iCs/>
      <w:caps/>
      <w:kern w:val="16"/>
      <w:sz w:val="24"/>
      <w:szCs w:val="28"/>
    </w:rPr>
  </w:style>
  <w:style w:type="paragraph" w:styleId="Heading3">
    <w:name w:val="heading 3"/>
    <w:aliases w:val="Subsection Heading"/>
    <w:next w:val="BodyTextIndent"/>
    <w:qFormat/>
    <w:rsid w:val="00E8080D"/>
    <w:pPr>
      <w:keepNext/>
      <w:spacing w:before="120" w:after="60"/>
      <w:outlineLvl w:val="2"/>
    </w:pPr>
    <w:rPr>
      <w:rFonts w:cs="Arial"/>
      <w:bCs/>
      <w:i/>
      <w:sz w:val="24"/>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link w:val="FootnoteTextChar"/>
    <w:rsid w:val="00011F0A"/>
    <w:rPr>
      <w:sz w:val="16"/>
    </w:rPr>
  </w:style>
  <w:style w:type="paragraph" w:customStyle="1" w:styleId="AbstractTitle">
    <w:name w:val="Abstract Title"/>
    <w:next w:val="BodyTextIndent"/>
    <w:rsid w:val="00E8080D"/>
    <w:rPr>
      <w:i/>
      <w:sz w:val="24"/>
      <w:szCs w:val="24"/>
    </w:rPr>
  </w:style>
  <w:style w:type="paragraph" w:customStyle="1" w:styleId="AuthorList">
    <w:name w:val="Author List"/>
    <w:next w:val="AbstractTitle"/>
    <w:autoRedefine/>
    <w:rsid w:val="004A521C"/>
    <w:pPr>
      <w:spacing w:before="180" w:after="240"/>
      <w:jc w:val="center"/>
    </w:pPr>
    <w:rPr>
      <w:sz w:val="24"/>
      <w:szCs w:val="24"/>
    </w:rPr>
  </w:style>
  <w:style w:type="paragraph" w:customStyle="1" w:styleId="FigureCaption">
    <w:name w:val="Figure Caption"/>
    <w:next w:val="BodyTextIndent"/>
    <w:rsid w:val="00E8080D"/>
    <w:pPr>
      <w:spacing w:before="60" w:after="120"/>
      <w:jc w:val="center"/>
    </w:pPr>
    <w:rPr>
      <w:szCs w:val="24"/>
    </w:rPr>
  </w:style>
  <w:style w:type="paragraph" w:customStyle="1" w:styleId="TableCaption">
    <w:name w:val="Table Caption"/>
    <w:next w:val="BodyTextIndent"/>
    <w:rsid w:val="00E8080D"/>
    <w:pPr>
      <w:spacing w:before="60" w:after="60"/>
      <w:jc w:val="center"/>
    </w:pPr>
    <w:rPr>
      <w:szCs w:val="24"/>
    </w:rPr>
  </w:style>
  <w:style w:type="character" w:customStyle="1" w:styleId="BodyTextIndentChar">
    <w:name w:val="Body Text Indent Char"/>
    <w:basedOn w:val="DefaultParagraphFont"/>
    <w:link w:val="BodyTextIndent"/>
    <w:rsid w:val="0098471A"/>
    <w:rPr>
      <w:szCs w:val="24"/>
      <w:lang w:val="en-US" w:eastAsia="en-US" w:bidi="ar-SA"/>
    </w:rPr>
  </w:style>
  <w:style w:type="paragraph" w:customStyle="1" w:styleId="ReferenceText">
    <w:name w:val="Reference Text"/>
    <w:basedOn w:val="BodyTextNoIndent"/>
    <w:link w:val="ReferenceTextChar"/>
    <w:autoRedefine/>
    <w:rsid w:val="007640CC"/>
    <w:pPr>
      <w:tabs>
        <w:tab w:val="left" w:pos="360"/>
      </w:tabs>
      <w:ind w:left="360" w:hanging="360"/>
    </w:pPr>
    <w:rPr>
      <w:rFonts w:ascii="Times" w:hAnsi="Times"/>
      <w:kern w:val="16"/>
      <w:szCs w:val="24"/>
    </w:rPr>
  </w:style>
  <w:style w:type="paragraph" w:styleId="BodyTextIndent">
    <w:name w:val="Body Text Indent"/>
    <w:link w:val="BodyTextIndentChar"/>
    <w:rsid w:val="00E8080D"/>
    <w:pPr>
      <w:ind w:firstLine="187"/>
      <w:jc w:val="both"/>
    </w:pPr>
    <w:rPr>
      <w:szCs w:val="24"/>
    </w:rPr>
  </w:style>
  <w:style w:type="character" w:styleId="Hyperlink">
    <w:name w:val="Hyperlink"/>
    <w:basedOn w:val="DefaultParagraphFont"/>
    <w:rsid w:val="008417B1"/>
    <w:rPr>
      <w:color w:val="0000FF"/>
      <w:u w:val="single"/>
    </w:rPr>
  </w:style>
  <w:style w:type="paragraph" w:customStyle="1" w:styleId="BulletedList">
    <w:name w:val="Bulleted List"/>
    <w:rsid w:val="00E8080D"/>
    <w:pPr>
      <w:numPr>
        <w:numId w:val="2"/>
      </w:numPr>
      <w:jc w:val="both"/>
    </w:pPr>
    <w:rPr>
      <w:szCs w:val="24"/>
    </w:rPr>
  </w:style>
  <w:style w:type="character" w:styleId="FootnoteReference">
    <w:name w:val="footnote reference"/>
    <w:basedOn w:val="DefaultParagraphFont"/>
    <w:semiHidden/>
    <w:rsid w:val="008841F0"/>
    <w:rPr>
      <w:vertAlign w:val="superscript"/>
    </w:rPr>
  </w:style>
  <w:style w:type="paragraph" w:styleId="Caption">
    <w:name w:val="caption"/>
    <w:basedOn w:val="Normal"/>
    <w:next w:val="Normal"/>
    <w:qFormat/>
    <w:rsid w:val="008417B1"/>
    <w:pPr>
      <w:spacing w:before="120" w:after="120" w:line="240" w:lineRule="auto"/>
      <w:jc w:val="both"/>
    </w:pPr>
    <w:rPr>
      <w:rFonts w:ascii="Times" w:hAnsi="Times"/>
      <w:b/>
      <w:bCs/>
      <w:sz w:val="20"/>
      <w:szCs w:val="20"/>
    </w:rPr>
  </w:style>
  <w:style w:type="paragraph" w:customStyle="1" w:styleId="BodyTextNoIndent">
    <w:name w:val="Body Text No Indent"/>
    <w:basedOn w:val="BodyTextIndent"/>
    <w:next w:val="BodyTextIndent"/>
    <w:link w:val="BodyTextNoIndentChar"/>
    <w:rsid w:val="00E8080D"/>
    <w:pPr>
      <w:ind w:firstLine="0"/>
    </w:pPr>
    <w:rPr>
      <w:szCs w:val="20"/>
    </w:rPr>
  </w:style>
  <w:style w:type="paragraph" w:customStyle="1" w:styleId="FigureCaptionMultiLine">
    <w:name w:val="Figure Caption Multi Line"/>
    <w:basedOn w:val="FigureCaption"/>
    <w:next w:val="BodyTextIndent"/>
    <w:rsid w:val="00E8080D"/>
    <w:pPr>
      <w:jc w:val="both"/>
    </w:pPr>
  </w:style>
  <w:style w:type="paragraph" w:customStyle="1" w:styleId="TableCaptionMultiLine">
    <w:name w:val="Table Caption Multi Line"/>
    <w:basedOn w:val="TableCaption"/>
    <w:next w:val="BodyTextIndent"/>
    <w:rsid w:val="00E8080D"/>
    <w:pPr>
      <w:jc w:val="both"/>
    </w:pPr>
  </w:style>
  <w:style w:type="character" w:customStyle="1" w:styleId="BodyTextNoIndentChar">
    <w:name w:val="Body Text No Indent Char"/>
    <w:basedOn w:val="BodyTextIndentChar"/>
    <w:link w:val="BodyTextNoIndent"/>
    <w:rsid w:val="0098471A"/>
  </w:style>
  <w:style w:type="character" w:customStyle="1" w:styleId="ReferenceTextChar">
    <w:name w:val="Reference Text Char"/>
    <w:basedOn w:val="BodyTextNoIndentChar"/>
    <w:link w:val="ReferenceText"/>
    <w:rsid w:val="0098471A"/>
    <w:rPr>
      <w:kern w:val="16"/>
    </w:rPr>
  </w:style>
  <w:style w:type="paragraph" w:customStyle="1" w:styleId="Equation">
    <w:name w:val="Equation"/>
    <w:basedOn w:val="BodyTextNoIndent"/>
    <w:next w:val="BodyTextNoIndent"/>
    <w:autoRedefine/>
    <w:rsid w:val="00811C3C"/>
    <w:pPr>
      <w:spacing w:before="240" w:after="240"/>
      <w:jc w:val="right"/>
    </w:pPr>
    <w:rPr>
      <w:kern w:val="16"/>
    </w:rPr>
  </w:style>
  <w:style w:type="character" w:customStyle="1" w:styleId="FootnoteTextChar">
    <w:name w:val="Footnote Text Char"/>
    <w:basedOn w:val="DefaultParagraphFont"/>
    <w:link w:val="FootnoteText"/>
    <w:rsid w:val="00A135FD"/>
    <w:rPr>
      <w:sz w:val="16"/>
      <w:lang w:val="en-US" w:eastAsia="en-US" w:bidi="ar-SA"/>
    </w:rPr>
  </w:style>
  <w:style w:type="paragraph" w:styleId="BalloonText">
    <w:name w:val="Balloon Text"/>
    <w:basedOn w:val="Normal"/>
    <w:link w:val="BalloonTextChar"/>
    <w:uiPriority w:val="99"/>
    <w:semiHidden/>
    <w:unhideWhenUsed/>
    <w:rsid w:val="009376A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76A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wmf"/><Relationship Id="rId5" Type="http://schemas.openxmlformats.org/officeDocument/2006/relationships/footnotes" Target="footnotes.xml"/><Relationship Id="rId10" Type="http://schemas.openxmlformats.org/officeDocument/2006/relationships/image" Target="media/image4.wmf"/><Relationship Id="rId4" Type="http://schemas.openxmlformats.org/officeDocument/2006/relationships/webSettings" Target="webSettings.xml"/><Relationship Id="rId9" Type="http://schemas.openxmlformats.org/officeDocument/2006/relationships/image" Target="media/image3.wmf"/></Relationships>
</file>

<file path=word/_rels/settings.xml.rels><?xml version="1.0" encoding="UTF-8" standalone="yes"?>
<Relationships xmlns="http://schemas.openxmlformats.org/package/2006/relationships"><Relationship Id="rId1" Type="http://schemas.openxmlformats.org/officeDocument/2006/relationships/attachedTemplate" Target="file:///Z:\My%20Documents\papers\pac07\JACoWXPLTRPC.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JACoWXPLTRPC.dot</Template>
  <TotalTime>1</TotalTime>
  <Pages>3</Pages>
  <Words>1386</Words>
  <Characters>7467</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lpstr>
    </vt:vector>
  </TitlesOfParts>
  <Company/>
  <LinksUpToDate>false</LinksUpToDate>
  <CharactersWithSpaces>8836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jansson</dc:creator>
  <cp:keywords/>
  <dc:description/>
  <cp:lastModifiedBy>Andreas Jansson</cp:lastModifiedBy>
  <cp:revision>3</cp:revision>
  <cp:lastPrinted>2003-01-20T15:16:00Z</cp:lastPrinted>
  <dcterms:created xsi:type="dcterms:W3CDTF">2007-06-27T03:46:00Z</dcterms:created>
  <dcterms:modified xsi:type="dcterms:W3CDTF">2007-06-27T03:47:00Z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1580783268</vt:i4>
  </property>
  <property fmtid="{D5CDD505-2E9C-101B-9397-08002B2CF9AE}" pid="3" name="_EmailSubject">
    <vt:lpwstr>Word XP Templates</vt:lpwstr>
  </property>
  <property fmtid="{D5CDD505-2E9C-101B-9397-08002B2CF9AE}" pid="4" name="_AuthorEmail">
    <vt:lpwstr>s.a.webber@worldnet.att.net</vt:lpwstr>
  </property>
  <property fmtid="{D5CDD505-2E9C-101B-9397-08002B2CF9AE}" pid="5" name="_AuthorEmailDisplayName">
    <vt:lpwstr>Sara Webber</vt:lpwstr>
  </property>
  <property fmtid="{D5CDD505-2E9C-101B-9397-08002B2CF9AE}" pid="6" name="_ReviewingToolsShownOnce">
    <vt:lpwstr/>
  </property>
</Properties>
</file>