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FDFF2">
      <w:pPr>
        <w:rPr>
          <w:rFonts w:hint="default" w:ascii="Times New Roman Bold" w:hAnsi="Times New Roman Bold" w:cs="Times New Roman Bold"/>
          <w:b/>
          <w:bCs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tab/>
        <w:t/>
      </w: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tab/>
        <w:t/>
      </w: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tab/>
      </w:r>
      <w:r>
        <w:rPr>
          <w:rFonts w:hint="default" w:ascii="Times New Roman Bold" w:hAnsi="Times New Roman Bold" w:cs="Times New Roman Bold"/>
          <w:b/>
          <w:bCs/>
          <w:sz w:val="36"/>
          <w:szCs w:val="36"/>
          <w:lang w:val="vi-VN"/>
        </w:rPr>
        <w:tab/>
        <w:t>Báo cáo Tuầ</w:t>
      </w:r>
      <w:bookmarkStart w:id="0" w:name="_GoBack"/>
      <w:bookmarkEnd w:id="0"/>
      <w:r>
        <w:rPr>
          <w:rFonts w:hint="default" w:ascii="Times New Roman Bold" w:hAnsi="Times New Roman Bold" w:cs="Times New Roman Bold"/>
          <w:b/>
          <w:bCs/>
          <w:sz w:val="36"/>
          <w:szCs w:val="36"/>
          <w:lang w:val="vi-VN"/>
        </w:rPr>
        <w:t>n 4</w:t>
      </w:r>
    </w:p>
    <w:p w14:paraId="1533BC57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31CF2D3D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4E5D5CA6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1" name="Picture 1" descr="Ảnh màn hình 2026-09-08 lúc 17.44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9-08 lúc 17.44.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D1C7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4D574DB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1. Xây dựng layout chung gồm Header, khu vực nội dung và Footer cho hệ thống TeleCare.</w:t>
      </w:r>
    </w:p>
    <w:p w14:paraId="6A4162A3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18E78DBB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2" name="Picture 2" descr="Ảnh màn hình 2026-09-08 lúc 17.46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9-08 lúc 17.46.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DAC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2. Thiết lập các quy tắc CSS cơ bản về typography, màu sắc và khoảng cách cho hệ thống TeleCare.</w:t>
      </w:r>
    </w:p>
    <w:p w14:paraId="35739429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3" name="Picture 3" descr="Ảnh màn hình 2026-09-08 lúc 17.47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09-08 lúc 17.47.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5263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p w14:paraId="6BED87B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Hình 3. Giao diện TeleCare sau khi áp dụng layout và các quy tắc CSS cơ bản.</w:t>
      </w:r>
    </w:p>
    <w:p w14:paraId="664BE00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</w:pPr>
    </w:p>
    <w:p w14:paraId="03CC51AC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5" name="Picture 5" descr="Ảnh màn hình 2026-09-08 lúc 17.49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màn hình 2026-09-08 lúc 17.49.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5BD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 xml:space="preserve">Hình </w:t>
      </w: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vi-VN" w:eastAsia="zh-CN" w:bidi="ar"/>
        </w:rPr>
        <w:t>4</w:t>
      </w: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. Xây dựng giao diện cơ bản cho Trang chủ của hệ thống TeleCare.</w:t>
      </w:r>
    </w:p>
    <w:p w14:paraId="60AE29C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</w:pPr>
    </w:p>
    <w:p w14:paraId="1F88CF6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</w:pPr>
    </w:p>
    <w:p w14:paraId="71E6F66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</w:pPr>
    </w:p>
    <w:p w14:paraId="58D2831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vi-VN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vi-VN" w:eastAsia="zh-CN" w:bidi="ar"/>
        </w:rPr>
        <w:drawing>
          <wp:inline distT="0" distB="0" distL="114300" distR="114300">
            <wp:extent cx="5264785" cy="3423920"/>
            <wp:effectExtent l="0" t="0" r="18415" b="5080"/>
            <wp:docPr id="6" name="Picture 6" descr="Ảnh màn hình 2026-09-08 lúc 17.5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màn hình 2026-09-08 lúc 17.51.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865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vi-VN" w:eastAsia="zh-CN" w:bidi="ar"/>
        </w:rPr>
      </w:pPr>
    </w:p>
    <w:p w14:paraId="2813375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 xml:space="preserve">Hình </w:t>
      </w: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vi-VN" w:eastAsia="zh-CN" w:bidi="ar"/>
        </w:rPr>
        <w:t>5</w:t>
      </w: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>. Xây dựng các component cơ bản có khả năng tái sử dụng trong dự án TeleCare.</w:t>
      </w:r>
    </w:p>
    <w:p w14:paraId="2414CE1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vi-VN" w:eastAsia="zh-CN" w:bidi="ar"/>
        </w:rPr>
      </w:pPr>
    </w:p>
    <w:p w14:paraId="0E1998F2">
      <w:pPr>
        <w:rPr>
          <w:rFonts w:hint="default" w:ascii="Times New Roman Regular" w:hAnsi="Times New Roman Regular" w:cs="Times New Roman Regular"/>
          <w:sz w:val="36"/>
          <w:szCs w:val="3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BCDBB"/>
    <w:rsid w:val="7E33EEB0"/>
    <w:rsid w:val="B7FBCDBB"/>
    <w:rsid w:val="FF6BB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2026-09-08T17:43:00Z</dcterms:created>
  <dc:creator>Thành Văn Đỗ</dc:creator>
  <cp:lastModifiedBy>Thành Văn Đỗ</cp:lastModifiedBy>
  <dcterms:modified xsi:type="dcterms:W3CDTF">2026-09-08T17:52:58Z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C2222F89B964071DEEE69F6A0657170C_41</vt:lpwstr>
  </property>
</Properties>
</file>