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pPr>
      <w:r>
        <w:rPr>
          <w:rFonts w:ascii="Calibri" w:hAnsi="Calibri"/>
          <w:b/>
          <w:color w:val="00A8CC"/>
          <w:sz w:val="20"/>
        </w:rPr>
        <w:t>SENUKE AI DEVELOPMENT MASTER</w:t>
      </w:r>
    </w:p>
    <w:p>
      <w:pPr>
        <w:pStyle w:val="Title"/>
      </w:pPr>
      <w:r>
        <w:t>DEV-049 — Simplified Growth Reporting</w:t>
        <w:br/>
        <w:t>Developer Specification</w:t>
      </w:r>
    </w:p>
    <w:p>
      <w:pPr>
        <w:pStyle w:val="Subtitle"/>
      </w:pPr>
      <w:r>
        <w:t>Implementation-ready V1 specification for individual users, Business workspaces and Agency client reporting</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000"/>
        <w:gridCol w:w="7360"/>
      </w:tblGrid>
      <w:tr>
        <w:trPr>
          <w:tblHeader w:val="true"/>
        </w:trPr>
        <w:tc>
          <w:tcPr>
            <w:tcW w:type="dxa" w:w="2000"/>
            <w:shd w:fill="10243E"/>
            <w:tcMar>
              <w:top w:w="100" w:type="dxa"/>
              <w:start w:w="120" w:type="dxa"/>
              <w:bottom w:w="100" w:type="dxa"/>
              <w:end w:w="120" w:type="dxa"/>
            </w:tcMar>
          </w:tcPr>
          <w:p>
            <w:r>
              <w:rPr>
                <w:b/>
                <w:color w:val="FFFFFF"/>
              </w:rPr>
              <w:t>Document field</w:t>
            </w:r>
          </w:p>
        </w:tc>
        <w:tc>
          <w:tcPr>
            <w:tcW w:type="dxa" w:w="7360"/>
            <w:shd w:fill="10243E"/>
            <w:tcMar>
              <w:top w:w="100" w:type="dxa"/>
              <w:start w:w="120" w:type="dxa"/>
              <w:bottom w:w="100" w:type="dxa"/>
              <w:end w:w="120" w:type="dxa"/>
            </w:tcMar>
          </w:tcPr>
          <w:p>
            <w:r>
              <w:rPr>
                <w:b/>
                <w:color w:val="FFFFFF"/>
              </w:rPr>
              <w:t>Value</w:t>
            </w:r>
          </w:p>
        </w:tc>
      </w:tr>
      <w:tr>
        <w:tc>
          <w:tcPr>
            <w:tcW w:type="dxa" w:w="2000"/>
            <w:shd w:fill="EAF2F8"/>
            <w:tcMar>
              <w:top w:w="100" w:type="dxa"/>
              <w:start w:w="120" w:type="dxa"/>
              <w:bottom w:w="100" w:type="dxa"/>
              <w:end w:w="120" w:type="dxa"/>
            </w:tcMar>
          </w:tcPr>
          <w:p>
            <w:r>
              <w:rPr>
                <w:b/>
                <w:color w:val="10243E"/>
              </w:rPr>
              <w:t>Status</w:t>
            </w:r>
          </w:p>
        </w:tc>
        <w:tc>
          <w:tcPr>
            <w:tcW w:type="dxa" w:w="7360"/>
            <w:tcMar>
              <w:top w:w="100" w:type="dxa"/>
              <w:start w:w="120" w:type="dxa"/>
              <w:bottom w:w="100" w:type="dxa"/>
              <w:end w:w="120" w:type="dxa"/>
            </w:tcMar>
          </w:tcPr>
          <w:p>
            <w:r>
              <w:t>Authoritative V1 reporting scope</w:t>
            </w:r>
          </w:p>
        </w:tc>
      </w:tr>
      <w:tr>
        <w:tc>
          <w:tcPr>
            <w:tcW w:type="dxa" w:w="2000"/>
            <w:shd w:fill="EAF2F8"/>
            <w:tcMar>
              <w:top w:w="100" w:type="dxa"/>
              <w:start w:w="120" w:type="dxa"/>
              <w:bottom w:w="100" w:type="dxa"/>
              <w:end w:w="120" w:type="dxa"/>
            </w:tcMar>
          </w:tcPr>
          <w:p>
            <w:r>
              <w:rPr>
                <w:b/>
                <w:color w:val="10243E"/>
              </w:rPr>
              <w:t>Version</w:t>
            </w:r>
          </w:p>
        </w:tc>
        <w:tc>
          <w:tcPr>
            <w:tcW w:type="dxa" w:w="7360"/>
            <w:tcMar>
              <w:top w:w="100" w:type="dxa"/>
              <w:start w:w="120" w:type="dxa"/>
              <w:bottom w:w="100" w:type="dxa"/>
              <w:end w:w="120" w:type="dxa"/>
            </w:tcMar>
          </w:tcPr>
          <w:p>
            <w:r>
              <w:t>1.0</w:t>
            </w:r>
          </w:p>
        </w:tc>
      </w:tr>
      <w:tr>
        <w:tc>
          <w:tcPr>
            <w:tcW w:type="dxa" w:w="2000"/>
            <w:shd w:fill="EAF2F8"/>
            <w:tcMar>
              <w:top w:w="100" w:type="dxa"/>
              <w:start w:w="120" w:type="dxa"/>
              <w:bottom w:w="100" w:type="dxa"/>
              <w:end w:w="120" w:type="dxa"/>
            </w:tcMar>
          </w:tcPr>
          <w:p>
            <w:r>
              <w:rPr>
                <w:b/>
                <w:color w:val="10243E"/>
              </w:rPr>
              <w:t>Date</w:t>
            </w:r>
          </w:p>
        </w:tc>
        <w:tc>
          <w:tcPr>
            <w:tcW w:type="dxa" w:w="7360"/>
            <w:tcMar>
              <w:top w:w="100" w:type="dxa"/>
              <w:start w:w="120" w:type="dxa"/>
              <w:bottom w:w="100" w:type="dxa"/>
              <w:end w:w="120" w:type="dxa"/>
            </w:tcMar>
          </w:tcPr>
          <w:p>
            <w:r>
              <w:t>August 12, 2026</w:t>
            </w:r>
          </w:p>
        </w:tc>
      </w:tr>
      <w:tr>
        <w:tc>
          <w:tcPr>
            <w:tcW w:type="dxa" w:w="2000"/>
            <w:shd w:fill="EAF2F8"/>
            <w:tcMar>
              <w:top w:w="100" w:type="dxa"/>
              <w:start w:w="120" w:type="dxa"/>
              <w:bottom w:w="100" w:type="dxa"/>
              <w:end w:w="120" w:type="dxa"/>
            </w:tcMar>
          </w:tcPr>
          <w:p>
            <w:r>
              <w:rPr>
                <w:b/>
                <w:color w:val="10243E"/>
              </w:rPr>
              <w:t>Applies to</w:t>
            </w:r>
          </w:p>
        </w:tc>
        <w:tc>
          <w:tcPr>
            <w:tcW w:type="dxa" w:w="7360"/>
            <w:tcMar>
              <w:top w:w="100" w:type="dxa"/>
              <w:start w:w="120" w:type="dxa"/>
              <w:bottom w:w="100" w:type="dxa"/>
              <w:end w:w="120" w:type="dxa"/>
            </w:tcMar>
          </w:tcPr>
          <w:p>
            <w:r>
              <w:t>Growth Summary, Growth Report, Agency Portfolio and client report export</w:t>
            </w:r>
          </w:p>
        </w:tc>
      </w:tr>
      <w:tr>
        <w:tc>
          <w:tcPr>
            <w:tcW w:type="dxa" w:w="2000"/>
            <w:shd w:fill="EAF2F8"/>
            <w:tcMar>
              <w:top w:w="100" w:type="dxa"/>
              <w:start w:w="120" w:type="dxa"/>
              <w:bottom w:w="100" w:type="dxa"/>
              <w:end w:w="120" w:type="dxa"/>
            </w:tcMar>
          </w:tcPr>
          <w:p>
            <w:r>
              <w:rPr>
                <w:b/>
                <w:color w:val="10243E"/>
              </w:rPr>
              <w:t>Authority</w:t>
            </w:r>
          </w:p>
        </w:tc>
        <w:tc>
          <w:tcPr>
            <w:tcW w:type="dxa" w:w="7360"/>
            <w:tcMar>
              <w:top w:w="100" w:type="dxa"/>
              <w:start w:w="120" w:type="dxa"/>
              <w:bottom w:w="100" w:type="dxa"/>
              <w:end w:w="120" w:type="dxa"/>
            </w:tcMar>
          </w:tcPr>
          <w:p>
            <w:r>
              <w:t>Supersedes broader V1 report catalogs and advanced reporting concepts</w:t>
            </w:r>
          </w:p>
        </w:tc>
      </w:tr>
    </w:tbl>
    <w:p>
      <w:pPr>
        <w:pStyle w:val="Heading2"/>
      </w:pPr>
      <w:r>
        <w:t>DECISION</w:t>
      </w:r>
    </w:p>
    <w:p>
      <w:pPr>
        <w:pStyle w:val="Callout"/>
      </w:pPr>
      <w:r>
        <w:t>V1 reporting is intentionally simple: one reporting engine, one standard Growth Report, one Agency portfolio overview and one client-safe report view. Reports explain verified work, results and the Next Best Action. They do not become a separate analytics or business-intelligence product.</w:t>
      </w:r>
    </w:p>
    <w:p>
      <w:r>
        <w:rPr>
          <w:b/>
        </w:rPr>
        <w:t xml:space="preserve">Developer reading rule: </w:t>
      </w:r>
      <w:r>
        <w:t>If an earlier document suggests multiple V1 report products, advanced report builders, automated distribution or unrestricted white-label reporting, implement this document instead. Continue using DEV-047 Part 4 for measurement truth and DEV-047 Part 5 for platform engineering rules.</w:t>
      </w:r>
    </w:p>
    <w:p>
      <w:r>
        <w:br w:type="page"/>
      </w:r>
    </w:p>
    <w:p>
      <w:pPr>
        <w:pStyle w:val="Heading1"/>
        <w:keepNext/>
      </w:pPr>
      <w:r>
        <w:t>Table of Contents</w:t>
      </w:r>
    </w:p>
    <w:p>
      <w:pPr>
        <w:pStyle w:val="ListNumber"/>
      </w:pPr>
      <w:r>
        <w:t>1. Purpose, authority and scope</w:t>
      </w:r>
    </w:p>
    <w:p>
      <w:pPr>
        <w:pStyle w:val="ListNumber"/>
      </w:pPr>
      <w:r>
        <w:t>2. Final V1 product decision</w:t>
      </w:r>
    </w:p>
    <w:p>
      <w:pPr>
        <w:pStyle w:val="ListNumber"/>
      </w:pPr>
      <w:r>
        <w:t>3. Reporting architecture</w:t>
      </w:r>
    </w:p>
    <w:p>
      <w:pPr>
        <w:pStyle w:val="ListNumber"/>
      </w:pPr>
      <w:r>
        <w:t>4. Users, plans and permissions</w:t>
      </w:r>
    </w:p>
    <w:p>
      <w:pPr>
        <w:pStyle w:val="ListNumber"/>
      </w:pPr>
      <w:r>
        <w:t>5. Reporting surfaces and navigation</w:t>
      </w:r>
    </w:p>
    <w:p>
      <w:pPr>
        <w:pStyle w:val="ListNumber"/>
      </w:pPr>
      <w:r>
        <w:t>6. Standard Growth Report contract</w:t>
      </w:r>
    </w:p>
    <w:p>
      <w:pPr>
        <w:pStyle w:val="ListNumber"/>
      </w:pPr>
      <w:r>
        <w:t>7. Metric selection and evidence rules</w:t>
      </w:r>
    </w:p>
    <w:p>
      <w:pPr>
        <w:pStyle w:val="ListNumber"/>
      </w:pPr>
      <w:r>
        <w:t>8. Report generation lifecycle</w:t>
      </w:r>
    </w:p>
    <w:p>
      <w:pPr>
        <w:pStyle w:val="ListNumber"/>
      </w:pPr>
      <w:r>
        <w:t>9. AI narrative generation</w:t>
      </w:r>
    </w:p>
    <w:p>
      <w:pPr>
        <w:pStyle w:val="ListNumber"/>
      </w:pPr>
      <w:r>
        <w:t>10. Agency portfolio and client reporting</w:t>
      </w:r>
    </w:p>
    <w:p>
      <w:pPr>
        <w:pStyle w:val="ListNumber"/>
      </w:pPr>
      <w:r>
        <w:t>11. Branding and PDF export</w:t>
      </w:r>
    </w:p>
    <w:p>
      <w:pPr>
        <w:pStyle w:val="ListNumber"/>
      </w:pPr>
      <w:r>
        <w:t>12. Data model</w:t>
      </w:r>
    </w:p>
    <w:p>
      <w:pPr>
        <w:pStyle w:val="ListNumber"/>
      </w:pPr>
      <w:r>
        <w:t>13. Services, APIs and events</w:t>
      </w:r>
    </w:p>
    <w:p>
      <w:pPr>
        <w:pStyle w:val="ListNumber"/>
      </w:pPr>
      <w:r>
        <w:t>14. Security, privacy and isolation</w:t>
      </w:r>
    </w:p>
    <w:p>
      <w:pPr>
        <w:pStyle w:val="ListNumber"/>
      </w:pPr>
      <w:r>
        <w:t>15. Reliability and revisions</w:t>
      </w:r>
    </w:p>
    <w:p>
      <w:pPr>
        <w:pStyle w:val="ListNumber"/>
      </w:pPr>
      <w:r>
        <w:t>16. User interface states and messages</w:t>
      </w:r>
    </w:p>
    <w:p>
      <w:pPr>
        <w:pStyle w:val="ListNumber"/>
      </w:pPr>
      <w:r>
        <w:t>17. Real-world examples</w:t>
      </w:r>
    </w:p>
    <w:p>
      <w:pPr>
        <w:pStyle w:val="ListNumber"/>
      </w:pPr>
      <w:r>
        <w:t>18. Edge cases</w:t>
      </w:r>
    </w:p>
    <w:p>
      <w:pPr>
        <w:pStyle w:val="ListNumber"/>
      </w:pPr>
      <w:r>
        <w:t>19. Implementation plan</w:t>
      </w:r>
    </w:p>
    <w:p>
      <w:pPr>
        <w:pStyle w:val="ListNumber"/>
      </w:pPr>
      <w:r>
        <w:t>20. Testing and acceptance criteria</w:t>
      </w:r>
    </w:p>
    <w:p>
      <w:pPr>
        <w:pStyle w:val="ListNumber"/>
      </w:pPr>
      <w:r>
        <w:t>Appendices: schemas, API examples and Definition of Done</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How to use this document  </w:t>
      </w:r>
      <w:r>
        <w:t>Build the shared reporting engine first. Then add the individual/Business view, the Agency portfolio and the client-safe presentation layer. Do not build separate report engines for each plan.</w:t>
      </w:r>
    </w:p>
    <w:p>
      <w:r>
        <w:br w:type="page"/>
      </w:r>
    </w:p>
    <w:p>
      <w:pPr>
        <w:pStyle w:val="Heading1"/>
        <w:keepNext/>
      </w:pPr>
      <w:r>
        <w:t>1. Purpose, Authority and Scope</w:t>
      </w:r>
    </w:p>
    <w:p>
      <w:r>
        <w:t>DEV-049 defines the complete V1 implementation for customer-facing growth reporting in SEnuke AI. It exists because earlier reporting concepts were too broad and could lead developers to build a report catalog, custom dashboard platform or business-intelligence product that is not required for launch.</w:t>
      </w:r>
    </w:p>
    <w:p>
      <w:r>
        <w:t>This specification narrows the presentation layer while preserving the approved evidence, measurement, permissions and learning architecture. Reporting remains a view of authoritative Growth Intelligence records. It is not a separate decision engine and it does not calculate its own version of business truth.</w:t>
      </w:r>
    </w:p>
    <w:p>
      <w:pPr>
        <w:pStyle w:val="Heading2"/>
        <w:keepNext/>
      </w:pPr>
      <w:r>
        <w:t>1.1 Authority order</w:t>
      </w:r>
    </w:p>
    <w:p>
      <w:pPr>
        <w:pStyle w:val="ListNumber"/>
      </w:pPr>
      <w:r>
        <w:t>Use DEV-047 Part 4 for metric truth, evaluation, evidence strength, Growth Blueprint learning and Next Best Action selection.</w:t>
      </w:r>
    </w:p>
    <w:p>
      <w:pPr>
        <w:pStyle w:val="ListNumber"/>
      </w:pPr>
      <w:r>
        <w:t>Use DEV-047 Part 5 for common platform rules such as tenancy, authorization, queues, idempotency, observability and secure AI orchestration.</w:t>
      </w:r>
    </w:p>
    <w:p>
      <w:pPr>
        <w:pStyle w:val="ListNumber"/>
      </w:pPr>
      <w:r>
        <w:t>Use DEV-049 as the authoritative V1 definition of report screens, report contents, plan behavior, Agency review, client presentation and PDF export.</w:t>
      </w:r>
    </w:p>
    <w:p>
      <w:pPr>
        <w:pStyle w:val="ListNumber"/>
      </w:pPr>
      <w:r>
        <w:t>Where an older document describes a broader V1 reporting feature, DEV-049 controls the customer-facing implementation.</w:t>
      </w:r>
    </w:p>
    <w:p>
      <w:pPr>
        <w:pStyle w:val="Heading2"/>
        <w:keepNext/>
      </w:pPr>
      <w:r>
        <w:t>1.2 What DEV-049 changes</w:t>
      </w:r>
    </w:p>
    <w:p>
      <w:pPr>
        <w:pStyle w:val="ListBullet"/>
      </w:pPr>
      <w:r>
        <w:t>Replaces multiple specialized V1 report products with one Standard Growth Report.</w:t>
      </w:r>
    </w:p>
    <w:p>
      <w:pPr>
        <w:pStyle w:val="ListBullet"/>
      </w:pPr>
      <w:r>
        <w:t>Replaces configurable dashboard/report builders with a fixed, evidence-driven layout.</w:t>
      </w:r>
    </w:p>
    <w:p>
      <w:pPr>
        <w:pStyle w:val="ListBullet"/>
      </w:pPr>
      <w:r>
        <w:t>Limits Agency V1 reporting to an internal portfolio overview and one client-safe report per client.</w:t>
      </w:r>
    </w:p>
    <w:p>
      <w:pPr>
        <w:pStyle w:val="ListBullet"/>
      </w:pPr>
      <w:r>
        <w:t>Makes report generation on demand, with useful default periods, instead of building a scheduler and distribution system.</w:t>
      </w:r>
    </w:p>
    <w:p>
      <w:pPr>
        <w:pStyle w:val="ListBullet"/>
      </w:pPr>
      <w:r>
        <w:t>Keeps detailed diagnostics accessible through View Details rather than placing all Growth Intelligence data in the main report.</w:t>
      </w:r>
    </w:p>
    <w:p>
      <w:pPr>
        <w:pStyle w:val="Heading2"/>
        <w:keepNext/>
      </w:pPr>
      <w:r>
        <w:t>1.3 What DEV-049 does not change</w:t>
      </w:r>
    </w:p>
    <w:p>
      <w:pPr>
        <w:pStyle w:val="ListBullet"/>
      </w:pPr>
      <w:r>
        <w:t>The Business Brain, approved Unified Strategy, Growth Blueprint and Workflow Controller remain the governing intelligence layers.</w:t>
      </w:r>
    </w:p>
    <w:p>
      <w:pPr>
        <w:pStyle w:val="ListBullet"/>
      </w:pPr>
      <w:r>
        <w:t>Part 4 remains the source of verified outcomes, evidence limitations and the one Next Best Action.</w:t>
      </w:r>
    </w:p>
    <w:p>
      <w:pPr>
        <w:pStyle w:val="ListBullet"/>
      </w:pPr>
      <w:r>
        <w:t>Part 3 remains responsible for approved execution; a report cannot publish or change a website, campaign or integration.</w:t>
      </w:r>
    </w:p>
    <w:p>
      <w:pPr>
        <w:pStyle w:val="ListBullet"/>
      </w:pPr>
      <w:r>
        <w:t>Workspace, project and Agency client isolation remain mandatory at every layer.</w:t>
      </w:r>
    </w:p>
    <w:p>
      <w:pPr>
        <w:pStyle w:val="ListBullet"/>
      </w:pPr>
      <w:r>
        <w:t>The separate Agency Proposal Builder roadmap is not expanded or redefined by this reporting specification.</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Simple developer rule  </w:t>
      </w:r>
      <w:r>
        <w:t>A report may explain existing authoritative records. It may not invent a metric, rerun strategy, create a second Next Best Action or execute marketing work.</w:t>
      </w:r>
    </w:p>
    <w:p>
      <w:pPr>
        <w:pStyle w:val="Heading1"/>
        <w:keepNext/>
      </w:pPr>
      <w:r>
        <w:t>2. Final V1 Product Decision</w:t>
      </w:r>
    </w:p>
    <w:p>
      <w:r>
        <w:t>V1 contains one reporting engine and three presentations. Plan and workspace differences are handled through entitlements, scope and permissions. Developers must not fork the report logic into separate codebases.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1900"/>
        <w:gridCol w:w="3800"/>
        <w:gridCol w:w="3660"/>
      </w:tblGrid>
      <w:tr>
        <w:trPr>
          <w:tblHeader w:val="true"/>
        </w:trPr>
        <w:tc>
          <w:tcPr>
            <w:tcW w:type="dxa" w:w="1900"/>
            <w:shd w:fill="EAF2F8"/>
            <w:vAlign w:val="center"/>
            <w:tcMar>
              <w:top w:w="100" w:type="dxa"/>
              <w:start w:w="120" w:type="dxa"/>
              <w:bottom w:w="100" w:type="dxa"/>
              <w:end w:w="120" w:type="dxa"/>
            </w:tcMar>
          </w:tcPr>
          <w:p>
            <w:r>
              <w:rPr>
                <w:b/>
                <w:color w:val="10243E"/>
                <w:sz w:val="18"/>
              </w:rPr>
              <w:t>Audience</w:t>
            </w:r>
          </w:p>
        </w:tc>
        <w:tc>
          <w:tcPr>
            <w:tcW w:type="dxa" w:w="3800"/>
            <w:shd w:fill="EAF2F8"/>
            <w:vAlign w:val="center"/>
            <w:tcMar>
              <w:top w:w="100" w:type="dxa"/>
              <w:start w:w="120" w:type="dxa"/>
              <w:bottom w:w="100" w:type="dxa"/>
              <w:end w:w="120" w:type="dxa"/>
            </w:tcMar>
          </w:tcPr>
          <w:p>
            <w:r>
              <w:rPr>
                <w:b/>
                <w:color w:val="10243E"/>
                <w:sz w:val="18"/>
              </w:rPr>
              <w:t>What they receive</w:t>
            </w:r>
          </w:p>
        </w:tc>
        <w:tc>
          <w:tcPr>
            <w:tcW w:type="dxa" w:w="3660"/>
            <w:shd w:fill="EAF2F8"/>
            <w:vAlign w:val="center"/>
            <w:tcMar>
              <w:top w:w="100" w:type="dxa"/>
              <w:start w:w="120" w:type="dxa"/>
              <w:bottom w:w="100" w:type="dxa"/>
              <w:end w:w="120" w:type="dxa"/>
            </w:tcMar>
          </w:tcPr>
          <w:p>
            <w:r>
              <w:rPr>
                <w:b/>
                <w:color w:val="10243E"/>
                <w:sz w:val="18"/>
              </w:rPr>
              <w:t>What changes</w:t>
            </w:r>
          </w:p>
        </w:tc>
      </w:tr>
      <w:tr>
        <w:tc>
          <w:tcPr>
            <w:tcW w:type="dxa" w:w="1900"/>
            <w:vAlign w:val="center"/>
            <w:tcMar>
              <w:top w:w="100" w:type="dxa"/>
              <w:start w:w="120" w:type="dxa"/>
              <w:bottom w:w="100" w:type="dxa"/>
              <w:end w:w="120" w:type="dxa"/>
            </w:tcMar>
          </w:tcPr>
          <w:p>
            <w:pPr>
              <w:spacing w:after="0" w:line="247" w:lineRule="auto"/>
            </w:pPr>
            <w:r>
              <w:rPr>
                <w:color w:val="163342"/>
                <w:sz w:val="18"/>
              </w:rPr>
              <w:t>Single-business user</w:t>
            </w:r>
          </w:p>
        </w:tc>
        <w:tc>
          <w:tcPr>
            <w:tcW w:type="dxa" w:w="3800"/>
            <w:vAlign w:val="center"/>
            <w:tcMar>
              <w:top w:w="100" w:type="dxa"/>
              <w:start w:w="120" w:type="dxa"/>
              <w:bottom w:w="100" w:type="dxa"/>
              <w:end w:w="120" w:type="dxa"/>
            </w:tcMar>
          </w:tcPr>
          <w:p>
            <w:pPr>
              <w:spacing w:after="0" w:line="247" w:lineRule="auto"/>
            </w:pPr>
            <w:r>
              <w:rPr>
                <w:color w:val="163342"/>
                <w:sz w:val="18"/>
              </w:rPr>
              <w:t>Growth Summary and one Standard Growth Report for their business.</w:t>
            </w:r>
          </w:p>
        </w:tc>
        <w:tc>
          <w:tcPr>
            <w:tcW w:type="dxa" w:w="3660"/>
            <w:vAlign w:val="center"/>
            <w:tcMar>
              <w:top w:w="100" w:type="dxa"/>
              <w:start w:w="120" w:type="dxa"/>
              <w:bottom w:w="100" w:type="dxa"/>
              <w:end w:w="120" w:type="dxa"/>
            </w:tcMar>
          </w:tcPr>
          <w:p>
            <w:pPr>
              <w:spacing w:after="0" w:line="247" w:lineRule="auto"/>
            </w:pPr>
            <w:r>
              <w:rPr>
                <w:color w:val="163342"/>
                <w:sz w:val="18"/>
              </w:rPr>
              <w:t>One workspace/project scope; plain owner language.</w:t>
            </w:r>
          </w:p>
        </w:tc>
      </w:tr>
      <w:tr>
        <w:tc>
          <w:tcPr>
            <w:tcW w:type="dxa" w:w="1900"/>
            <w:vAlign w:val="center"/>
            <w:tcMar>
              <w:top w:w="100" w:type="dxa"/>
              <w:start w:w="120" w:type="dxa"/>
              <w:bottom w:w="100" w:type="dxa"/>
              <w:end w:w="120" w:type="dxa"/>
            </w:tcMar>
          </w:tcPr>
          <w:p>
            <w:pPr>
              <w:spacing w:after="0" w:line="247" w:lineRule="auto"/>
            </w:pPr>
            <w:r>
              <w:rPr>
                <w:color w:val="163342"/>
                <w:sz w:val="18"/>
              </w:rPr>
              <w:t>Business workspace</w:t>
            </w:r>
          </w:p>
        </w:tc>
        <w:tc>
          <w:tcPr>
            <w:tcW w:type="dxa" w:w="3800"/>
            <w:vAlign w:val="center"/>
            <w:tcMar>
              <w:top w:w="100" w:type="dxa"/>
              <w:start w:w="120" w:type="dxa"/>
              <w:bottom w:w="100" w:type="dxa"/>
              <w:end w:w="120" w:type="dxa"/>
            </w:tcMar>
          </w:tcPr>
          <w:p>
            <w:pPr>
              <w:spacing w:after="0" w:line="247" w:lineRule="auto"/>
            </w:pPr>
            <w:r>
              <w:rPr>
                <w:color w:val="163342"/>
                <w:sz w:val="18"/>
              </w:rPr>
              <w:t>The same Growth Report with authorized team access and optional location/campaign detail.</w:t>
            </w:r>
          </w:p>
        </w:tc>
        <w:tc>
          <w:tcPr>
            <w:tcW w:type="dxa" w:w="3660"/>
            <w:vAlign w:val="center"/>
            <w:tcMar>
              <w:top w:w="100" w:type="dxa"/>
              <w:start w:w="120" w:type="dxa"/>
              <w:bottom w:w="100" w:type="dxa"/>
              <w:end w:w="120" w:type="dxa"/>
            </w:tcMar>
          </w:tcPr>
          <w:p>
            <w:pPr>
              <w:spacing w:after="0" w:line="247" w:lineRule="auto"/>
            </w:pPr>
            <w:r>
              <w:rPr>
                <w:color w:val="163342"/>
                <w:sz w:val="18"/>
              </w:rPr>
              <w:t>More authorized scope; no different report engine.</w:t>
            </w:r>
          </w:p>
        </w:tc>
      </w:tr>
      <w:tr>
        <w:tc>
          <w:tcPr>
            <w:tcW w:type="dxa" w:w="1900"/>
            <w:vAlign w:val="center"/>
            <w:tcMar>
              <w:top w:w="100" w:type="dxa"/>
              <w:start w:w="120" w:type="dxa"/>
              <w:bottom w:w="100" w:type="dxa"/>
              <w:end w:w="120" w:type="dxa"/>
            </w:tcMar>
          </w:tcPr>
          <w:p>
            <w:pPr>
              <w:spacing w:after="0" w:line="247" w:lineRule="auto"/>
            </w:pPr>
            <w:r>
              <w:rPr>
                <w:color w:val="163342"/>
                <w:sz w:val="18"/>
              </w:rPr>
              <w:t>Agency workspace</w:t>
            </w:r>
          </w:p>
        </w:tc>
        <w:tc>
          <w:tcPr>
            <w:tcW w:type="dxa" w:w="3800"/>
            <w:vAlign w:val="center"/>
            <w:tcMar>
              <w:top w:w="100" w:type="dxa"/>
              <w:start w:w="120" w:type="dxa"/>
              <w:bottom w:w="100" w:type="dxa"/>
              <w:end w:w="120" w:type="dxa"/>
            </w:tcMar>
          </w:tcPr>
          <w:p>
            <w:pPr>
              <w:spacing w:after="0" w:line="247" w:lineRule="auto"/>
            </w:pPr>
            <w:r>
              <w:rPr>
                <w:color w:val="163342"/>
                <w:sz w:val="18"/>
              </w:rPr>
              <w:t>Internal portfolio overview plus the Standard Growth Report for each client.</w:t>
            </w:r>
          </w:p>
        </w:tc>
        <w:tc>
          <w:tcPr>
            <w:tcW w:type="dxa" w:w="3660"/>
            <w:vAlign w:val="center"/>
            <w:tcMar>
              <w:top w:w="100" w:type="dxa"/>
              <w:start w:w="120" w:type="dxa"/>
              <w:bottom w:w="100" w:type="dxa"/>
              <w:end w:w="120" w:type="dxa"/>
            </w:tcMar>
          </w:tcPr>
          <w:p>
            <w:pPr>
              <w:spacing w:after="0" w:line="247" w:lineRule="auto"/>
            </w:pPr>
            <w:r>
              <w:rPr>
                <w:color w:val="163342"/>
                <w:sz w:val="18"/>
              </w:rPr>
              <w:t>Client isolation, Agency review and branding.</w:t>
            </w:r>
          </w:p>
        </w:tc>
      </w:tr>
    </w:tbl>
    <w:p>
      <w:pPr>
        <w:spacing w:after="20"/>
      </w:pPr>
    </w:p>
    <w:p>
      <w:pPr>
        <w:pStyle w:val="Heading2"/>
        <w:keepNext/>
      </w:pPr>
      <w:r>
        <w:t>2.1 The three questions every report answers</w:t>
      </w:r>
    </w:p>
    <w:p>
      <w:pPr>
        <w:pStyle w:val="ListNumber"/>
      </w:pPr>
      <w:r>
        <w:t>What work did SEnuke AI or the authorized team complete during this period?</w:t>
      </w:r>
    </w:p>
    <w:p>
      <w:pPr>
        <w:pStyle w:val="ListNumber"/>
      </w:pPr>
      <w:r>
        <w:t>What verified results, changes or limitations were observed?</w:t>
      </w:r>
    </w:p>
    <w:p>
      <w:pPr>
        <w:pStyle w:val="ListNumber"/>
      </w:pPr>
      <w:r>
        <w:t>What is the one Next Best Action, and why should it happen now?</w:t>
      </w:r>
    </w:p>
    <w:p>
      <w:pPr>
        <w:pStyle w:val="Heading2"/>
        <w:keepNext/>
      </w:pPr>
      <w:r>
        <w:t>2.2 Explicit V1 exclusions</w:t>
      </w:r>
    </w:p>
    <w:p>
      <w:pPr>
        <w:pStyle w:val="ListBullet"/>
      </w:pPr>
      <w:r>
        <w:t>No drag-and-drop report builder.</w:t>
      </w:r>
    </w:p>
    <w:p>
      <w:pPr>
        <w:pStyle w:val="ListBullet"/>
      </w:pPr>
      <w:r>
        <w:t>No library of separate SEO, Local SEO, AI Search, Content, CRO, CRM, Social, Email or Campaign report products.</w:t>
      </w:r>
    </w:p>
    <w:p>
      <w:pPr>
        <w:pStyle w:val="ListBullet"/>
      </w:pPr>
      <w:r>
        <w:t>No arbitrary custom formulas or user-defined calculated metrics.</w:t>
      </w:r>
    </w:p>
    <w:p>
      <w:pPr>
        <w:pStyle w:val="ListBullet"/>
      </w:pPr>
      <w:r>
        <w:t>No unlimited custom dashboards or cross-client comparison builder.</w:t>
      </w:r>
    </w:p>
    <w:p>
      <w:pPr>
        <w:pStyle w:val="ListBullet"/>
      </w:pPr>
      <w:r>
        <w:t>No automated scheduled email distribution or multi-recipient delivery rules.</w:t>
      </w:r>
    </w:p>
    <w:p>
      <w:pPr>
        <w:pStyle w:val="ListBullet"/>
      </w:pPr>
      <w:r>
        <w:t>No incremental multi-channel attribution model or causal claims unsupported by Part 4.</w:t>
      </w:r>
    </w:p>
    <w:p>
      <w:pPr>
        <w:pStyle w:val="ListBullet"/>
      </w:pPr>
      <w:r>
        <w:t>No live collaborative report editing, comments or approval chains beyond the simple Agency review state.</w:t>
      </w:r>
    </w:p>
    <w:p>
      <w:pPr>
        <w:pStyle w:val="ListBullet"/>
      </w:pPr>
      <w:r>
        <w:t>No unrestricted white-label portal or custom-domain reporting system.</w:t>
      </w:r>
    </w:p>
    <w:p>
      <w:pPr>
        <w:pStyle w:val="ListBullet"/>
      </w:pPr>
      <w:r>
        <w:t>No cross-client benchmarking in a client-visible report.</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Not deleted, only simplified  </w:t>
      </w:r>
      <w:r>
        <w:t>The underlying Growth Intelligence modules may still hold detailed SEO, Local, content, funnel, CRM or experiment evidence. V1 exposes that detail through links and filters under View Details; it does not turn each domain into a separate report product.</w:t>
      </w:r>
    </w:p>
    <w:p>
      <w:pPr>
        <w:pStyle w:val="Heading1"/>
        <w:keepNext/>
      </w:pPr>
      <w:r>
        <w:t>3. Reporting Architecture</w:t>
      </w:r>
    </w:p>
    <w:p>
      <w:pPr>
        <w:jc w:val="center"/>
      </w:pPr>
      <w:r>
        <w:drawing>
          <wp:inline xmlns:a="http://schemas.openxmlformats.org/drawingml/2006/main" xmlns:pic="http://schemas.openxmlformats.org/drawingml/2006/picture">
            <wp:extent cx="5806440" cy="1745473"/>
            <wp:docPr id="1" name="Picture 1" title="Figure 1 — Simplified reporting flow" descr="Verified growth data becomes an immutable report snapshot, then a validated AI narrative, a permission-safe view, and finally a PDF or client view."/>
            <wp:cNvGraphicFramePr>
              <a:graphicFrameLocks noChangeAspect="1"/>
            </wp:cNvGraphicFramePr>
            <a:graphic>
              <a:graphicData uri="http://schemas.openxmlformats.org/drawingml/2006/picture">
                <pic:pic>
                  <pic:nvPicPr>
                    <pic:cNvPr id="0" name="reporting_flow.png"/>
                    <pic:cNvPicPr/>
                  </pic:nvPicPr>
                  <pic:blipFill>
                    <a:blip r:embed="rId11"/>
                    <a:stretch>
                      <a:fillRect/>
                    </a:stretch>
                  </pic:blipFill>
                  <pic:spPr>
                    <a:xfrm>
                      <a:off x="0" y="0"/>
                      <a:ext cx="5806440" cy="1745473"/>
                    </a:xfrm>
                    <a:prstGeom prst="rect"/>
                  </pic:spPr>
                </pic:pic>
              </a:graphicData>
            </a:graphic>
          </wp:inline>
        </w:drawing>
      </w:r>
    </w:p>
    <w:p>
      <w:pPr>
        <w:spacing w:before="40" w:after="160"/>
        <w:jc w:val="center"/>
      </w:pPr>
      <w:r>
        <w:rPr>
          <w:i/>
          <w:color w:val="5E6B78"/>
          <w:sz w:val="17"/>
        </w:rPr>
        <w:t>Figure 1 — Simplified reporting flow</w:t>
      </w:r>
    </w:p>
    <w:p>
      <w:pPr>
        <w:pStyle w:val="Heading2"/>
        <w:keepNext/>
      </w:pPr>
      <w:r>
        <w:t>3.1 Component responsibilities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1900"/>
        <w:gridCol w:w="3500"/>
        <w:gridCol w:w="3960"/>
      </w:tblGrid>
      <w:tr>
        <w:trPr>
          <w:tblHeader w:val="true"/>
        </w:trPr>
        <w:tc>
          <w:tcPr>
            <w:tcW w:type="dxa" w:w="1900"/>
            <w:shd w:fill="EAF2F8"/>
            <w:vAlign w:val="center"/>
            <w:tcMar>
              <w:top w:w="100" w:type="dxa"/>
              <w:start w:w="120" w:type="dxa"/>
              <w:bottom w:w="100" w:type="dxa"/>
              <w:end w:w="120" w:type="dxa"/>
            </w:tcMar>
          </w:tcPr>
          <w:p>
            <w:r>
              <w:rPr>
                <w:b/>
                <w:color w:val="10243E"/>
                <w:sz w:val="17"/>
              </w:rPr>
              <w:t>Component</w:t>
            </w:r>
          </w:p>
        </w:tc>
        <w:tc>
          <w:tcPr>
            <w:tcW w:type="dxa" w:w="3500"/>
            <w:shd w:fill="EAF2F8"/>
            <w:vAlign w:val="center"/>
            <w:tcMar>
              <w:top w:w="100" w:type="dxa"/>
              <w:start w:w="120" w:type="dxa"/>
              <w:bottom w:w="100" w:type="dxa"/>
              <w:end w:w="120" w:type="dxa"/>
            </w:tcMar>
          </w:tcPr>
          <w:p>
            <w:r>
              <w:rPr>
                <w:b/>
                <w:color w:val="10243E"/>
                <w:sz w:val="17"/>
              </w:rPr>
              <w:t>Owns</w:t>
            </w:r>
          </w:p>
        </w:tc>
        <w:tc>
          <w:tcPr>
            <w:tcW w:type="dxa" w:w="3960"/>
            <w:shd w:fill="EAF2F8"/>
            <w:vAlign w:val="center"/>
            <w:tcMar>
              <w:top w:w="100" w:type="dxa"/>
              <w:start w:w="120" w:type="dxa"/>
              <w:bottom w:w="100" w:type="dxa"/>
              <w:end w:w="120" w:type="dxa"/>
            </w:tcMar>
          </w:tcPr>
          <w:p>
            <w:r>
              <w:rPr>
                <w:b/>
                <w:color w:val="10243E"/>
                <w:sz w:val="17"/>
              </w:rPr>
              <w:t>Must not do</w:t>
            </w:r>
          </w:p>
        </w:tc>
      </w:tr>
      <w:tr>
        <w:tc>
          <w:tcPr>
            <w:tcW w:type="dxa" w:w="1900"/>
            <w:vAlign w:val="center"/>
            <w:tcMar>
              <w:top w:w="100" w:type="dxa"/>
              <w:start w:w="120" w:type="dxa"/>
              <w:bottom w:w="100" w:type="dxa"/>
              <w:end w:w="120" w:type="dxa"/>
            </w:tcMar>
          </w:tcPr>
          <w:p>
            <w:pPr>
              <w:spacing w:after="0" w:line="247" w:lineRule="auto"/>
            </w:pPr>
            <w:r>
              <w:rPr>
                <w:color w:val="163342"/>
                <w:sz w:val="17"/>
              </w:rPr>
              <w:t>Growth Intelligence</w:t>
            </w:r>
          </w:p>
        </w:tc>
        <w:tc>
          <w:tcPr>
            <w:tcW w:type="dxa" w:w="3500"/>
            <w:vAlign w:val="center"/>
            <w:tcMar>
              <w:top w:w="100" w:type="dxa"/>
              <w:start w:w="120" w:type="dxa"/>
              <w:bottom w:w="100" w:type="dxa"/>
              <w:end w:w="120" w:type="dxa"/>
            </w:tcMar>
          </w:tcPr>
          <w:p>
            <w:pPr>
              <w:spacing w:after="0" w:line="247" w:lineRule="auto"/>
            </w:pPr>
            <w:r>
              <w:rPr>
                <w:color w:val="163342"/>
                <w:sz w:val="17"/>
              </w:rPr>
              <w:t>Metrics, evaluation, evidence, limitations, learning and Next Best Action.</w:t>
            </w:r>
          </w:p>
        </w:tc>
        <w:tc>
          <w:tcPr>
            <w:tcW w:type="dxa" w:w="3960"/>
            <w:vAlign w:val="center"/>
            <w:tcMar>
              <w:top w:w="100" w:type="dxa"/>
              <w:start w:w="120" w:type="dxa"/>
              <w:bottom w:w="100" w:type="dxa"/>
              <w:end w:w="120" w:type="dxa"/>
            </w:tcMar>
          </w:tcPr>
          <w:p>
            <w:pPr>
              <w:spacing w:after="0" w:line="247" w:lineRule="auto"/>
            </w:pPr>
            <w:r>
              <w:rPr>
                <w:color w:val="163342"/>
                <w:sz w:val="17"/>
              </w:rPr>
              <w:t>Format customer reports or apply Agency branding.</w:t>
            </w:r>
          </w:p>
        </w:tc>
      </w:tr>
      <w:tr>
        <w:tc>
          <w:tcPr>
            <w:tcW w:type="dxa" w:w="1900"/>
            <w:vAlign w:val="center"/>
            <w:tcMar>
              <w:top w:w="100" w:type="dxa"/>
              <w:start w:w="120" w:type="dxa"/>
              <w:bottom w:w="100" w:type="dxa"/>
              <w:end w:w="120" w:type="dxa"/>
            </w:tcMar>
          </w:tcPr>
          <w:p>
            <w:pPr>
              <w:spacing w:after="0" w:line="247" w:lineRule="auto"/>
            </w:pPr>
            <w:r>
              <w:rPr>
                <w:color w:val="163342"/>
                <w:sz w:val="17"/>
              </w:rPr>
              <w:t>Report Composer</w:t>
            </w:r>
          </w:p>
        </w:tc>
        <w:tc>
          <w:tcPr>
            <w:tcW w:type="dxa" w:w="3500"/>
            <w:vAlign w:val="center"/>
            <w:tcMar>
              <w:top w:w="100" w:type="dxa"/>
              <w:start w:w="120" w:type="dxa"/>
              <w:bottom w:w="100" w:type="dxa"/>
              <w:end w:w="120" w:type="dxa"/>
            </w:tcMar>
          </w:tcPr>
          <w:p>
            <w:pPr>
              <w:spacing w:after="0" w:line="247" w:lineRule="auto"/>
            </w:pPr>
            <w:r>
              <w:rPr>
                <w:color w:val="163342"/>
                <w:sz w:val="17"/>
              </w:rPr>
              <w:t>Selects approved report fields and creates the snapshot.</w:t>
            </w:r>
          </w:p>
        </w:tc>
        <w:tc>
          <w:tcPr>
            <w:tcW w:type="dxa" w:w="3960"/>
            <w:vAlign w:val="center"/>
            <w:tcMar>
              <w:top w:w="100" w:type="dxa"/>
              <w:start w:w="120" w:type="dxa"/>
              <w:bottom w:w="100" w:type="dxa"/>
              <w:end w:w="120" w:type="dxa"/>
            </w:tcMar>
          </w:tcPr>
          <w:p>
            <w:pPr>
              <w:spacing w:after="0" w:line="247" w:lineRule="auto"/>
            </w:pPr>
            <w:r>
              <w:rPr>
                <w:color w:val="163342"/>
                <w:sz w:val="17"/>
              </w:rPr>
              <w:t>Recompute source metrics or override Part 4 results.</w:t>
            </w:r>
          </w:p>
        </w:tc>
      </w:tr>
      <w:tr>
        <w:tc>
          <w:tcPr>
            <w:tcW w:type="dxa" w:w="1900"/>
            <w:vAlign w:val="center"/>
            <w:tcMar>
              <w:top w:w="100" w:type="dxa"/>
              <w:start w:w="120" w:type="dxa"/>
              <w:bottom w:w="100" w:type="dxa"/>
              <w:end w:w="120" w:type="dxa"/>
            </w:tcMar>
          </w:tcPr>
          <w:p>
            <w:pPr>
              <w:spacing w:after="0" w:line="247" w:lineRule="auto"/>
            </w:pPr>
            <w:r>
              <w:rPr>
                <w:color w:val="163342"/>
                <w:sz w:val="17"/>
              </w:rPr>
              <w:t>Narrative Generator</w:t>
            </w:r>
          </w:p>
        </w:tc>
        <w:tc>
          <w:tcPr>
            <w:tcW w:type="dxa" w:w="3500"/>
            <w:vAlign w:val="center"/>
            <w:tcMar>
              <w:top w:w="100" w:type="dxa"/>
              <w:start w:w="120" w:type="dxa"/>
              <w:bottom w:w="100" w:type="dxa"/>
              <w:end w:w="120" w:type="dxa"/>
            </w:tcMar>
          </w:tcPr>
          <w:p>
            <w:pPr>
              <w:spacing w:after="0" w:line="247" w:lineRule="auto"/>
            </w:pPr>
            <w:r>
              <w:rPr>
                <w:color w:val="163342"/>
                <w:sz w:val="17"/>
              </w:rPr>
              <w:t>Explains the snapshot in plain language through the AI Orchestrator.</w:t>
            </w:r>
          </w:p>
        </w:tc>
        <w:tc>
          <w:tcPr>
            <w:tcW w:type="dxa" w:w="3960"/>
            <w:vAlign w:val="center"/>
            <w:tcMar>
              <w:top w:w="100" w:type="dxa"/>
              <w:start w:w="120" w:type="dxa"/>
              <w:bottom w:w="100" w:type="dxa"/>
              <w:end w:w="120" w:type="dxa"/>
            </w:tcMar>
          </w:tcPr>
          <w:p>
            <w:pPr>
              <w:spacing w:after="0" w:line="247" w:lineRule="auto"/>
            </w:pPr>
            <w:r>
              <w:rPr>
                <w:color w:val="163342"/>
                <w:sz w:val="17"/>
              </w:rPr>
              <w:t>Invent facts, numbers, causality or certainty.</w:t>
            </w:r>
          </w:p>
        </w:tc>
      </w:tr>
      <w:tr>
        <w:tc>
          <w:tcPr>
            <w:tcW w:type="dxa" w:w="1900"/>
            <w:vAlign w:val="center"/>
            <w:tcMar>
              <w:top w:w="100" w:type="dxa"/>
              <w:start w:w="120" w:type="dxa"/>
              <w:bottom w:w="100" w:type="dxa"/>
              <w:end w:w="120" w:type="dxa"/>
            </w:tcMar>
          </w:tcPr>
          <w:p>
            <w:pPr>
              <w:spacing w:after="0" w:line="247" w:lineRule="auto"/>
            </w:pPr>
            <w:r>
              <w:rPr>
                <w:color w:val="163342"/>
                <w:sz w:val="17"/>
              </w:rPr>
              <w:t>Report Read Model</w:t>
            </w:r>
          </w:p>
        </w:tc>
        <w:tc>
          <w:tcPr>
            <w:tcW w:type="dxa" w:w="3500"/>
            <w:vAlign w:val="center"/>
            <w:tcMar>
              <w:top w:w="100" w:type="dxa"/>
              <w:start w:w="120" w:type="dxa"/>
              <w:bottom w:w="100" w:type="dxa"/>
              <w:end w:w="120" w:type="dxa"/>
            </w:tcMar>
          </w:tcPr>
          <w:p>
            <w:pPr>
              <w:spacing w:after="0" w:line="247" w:lineRule="auto"/>
            </w:pPr>
            <w:r>
              <w:rPr>
                <w:color w:val="163342"/>
                <w:sz w:val="17"/>
              </w:rPr>
              <w:t>Serves fast permission-scoped Growth Summary, report and portfolio views.</w:t>
            </w:r>
          </w:p>
        </w:tc>
        <w:tc>
          <w:tcPr>
            <w:tcW w:type="dxa" w:w="3960"/>
            <w:vAlign w:val="center"/>
            <w:tcMar>
              <w:top w:w="100" w:type="dxa"/>
              <w:start w:w="120" w:type="dxa"/>
              <w:bottom w:w="100" w:type="dxa"/>
              <w:end w:w="120" w:type="dxa"/>
            </w:tcMar>
          </w:tcPr>
          <w:p>
            <w:pPr>
              <w:spacing w:after="0" w:line="247" w:lineRule="auto"/>
            </w:pPr>
            <w:r>
              <w:rPr>
                <w:color w:val="163342"/>
                <w:sz w:val="17"/>
              </w:rPr>
              <w:t>Merge clients or bypass source ownership.</w:t>
            </w:r>
          </w:p>
        </w:tc>
      </w:tr>
      <w:tr>
        <w:tc>
          <w:tcPr>
            <w:tcW w:type="dxa" w:w="1900"/>
            <w:vAlign w:val="center"/>
            <w:tcMar>
              <w:top w:w="100" w:type="dxa"/>
              <w:start w:w="120" w:type="dxa"/>
              <w:bottom w:w="100" w:type="dxa"/>
              <w:end w:w="120" w:type="dxa"/>
            </w:tcMar>
          </w:tcPr>
          <w:p>
            <w:pPr>
              <w:spacing w:after="0" w:line="247" w:lineRule="auto"/>
            </w:pPr>
            <w:r>
              <w:rPr>
                <w:color w:val="163342"/>
                <w:sz w:val="17"/>
              </w:rPr>
              <w:t>PDF Renderer</w:t>
            </w:r>
          </w:p>
        </w:tc>
        <w:tc>
          <w:tcPr>
            <w:tcW w:type="dxa" w:w="3500"/>
            <w:vAlign w:val="center"/>
            <w:tcMar>
              <w:top w:w="100" w:type="dxa"/>
              <w:start w:w="120" w:type="dxa"/>
              <w:bottom w:w="100" w:type="dxa"/>
              <w:end w:w="120" w:type="dxa"/>
            </w:tcMar>
          </w:tcPr>
          <w:p>
            <w:pPr>
              <w:spacing w:after="0" w:line="247" w:lineRule="auto"/>
            </w:pPr>
            <w:r>
              <w:rPr>
                <w:color w:val="163342"/>
                <w:sz w:val="17"/>
              </w:rPr>
              <w:t>Renders an approved snapshot and brand profile.</w:t>
            </w:r>
          </w:p>
        </w:tc>
        <w:tc>
          <w:tcPr>
            <w:tcW w:type="dxa" w:w="3960"/>
            <w:vAlign w:val="center"/>
            <w:tcMar>
              <w:top w:w="100" w:type="dxa"/>
              <w:start w:w="120" w:type="dxa"/>
              <w:bottom w:w="100" w:type="dxa"/>
              <w:end w:w="120" w:type="dxa"/>
            </w:tcMar>
          </w:tcPr>
          <w:p>
            <w:pPr>
              <w:spacing w:after="0" w:line="247" w:lineRule="auto"/>
            </w:pPr>
            <w:r>
              <w:rPr>
                <w:color w:val="163342"/>
                <w:sz w:val="17"/>
              </w:rPr>
              <w:t>Query live providers or change report content.</w:t>
            </w:r>
          </w:p>
        </w:tc>
      </w:tr>
      <w:tr>
        <w:tc>
          <w:tcPr>
            <w:tcW w:type="dxa" w:w="1900"/>
            <w:vAlign w:val="center"/>
            <w:tcMar>
              <w:top w:w="100" w:type="dxa"/>
              <w:start w:w="120" w:type="dxa"/>
              <w:bottom w:w="100" w:type="dxa"/>
              <w:end w:w="120" w:type="dxa"/>
            </w:tcMar>
          </w:tcPr>
          <w:p>
            <w:pPr>
              <w:spacing w:after="0" w:line="247" w:lineRule="auto"/>
            </w:pPr>
            <w:r>
              <w:rPr>
                <w:color w:val="163342"/>
                <w:sz w:val="17"/>
              </w:rPr>
              <w:t>Workflow Controller</w:t>
            </w:r>
          </w:p>
        </w:tc>
        <w:tc>
          <w:tcPr>
            <w:tcW w:type="dxa" w:w="3500"/>
            <w:vAlign w:val="center"/>
            <w:tcMar>
              <w:top w:w="100" w:type="dxa"/>
              <w:start w:w="120" w:type="dxa"/>
              <w:bottom w:w="100" w:type="dxa"/>
              <w:end w:w="120" w:type="dxa"/>
            </w:tcMar>
          </w:tcPr>
          <w:p>
            <w:pPr>
              <w:spacing w:after="0" w:line="247" w:lineRule="auto"/>
            </w:pPr>
            <w:r>
              <w:rPr>
                <w:color w:val="163342"/>
                <w:sz w:val="17"/>
              </w:rPr>
              <w:t>Provides the authoritative current Next Best Action and approval path.</w:t>
            </w:r>
          </w:p>
        </w:tc>
        <w:tc>
          <w:tcPr>
            <w:tcW w:type="dxa" w:w="3960"/>
            <w:vAlign w:val="center"/>
            <w:tcMar>
              <w:top w:w="100" w:type="dxa"/>
              <w:start w:w="120" w:type="dxa"/>
              <w:bottom w:w="100" w:type="dxa"/>
              <w:end w:w="120" w:type="dxa"/>
            </w:tcMar>
          </w:tcPr>
          <w:p>
            <w:pPr>
              <w:spacing w:after="0" w:line="247" w:lineRule="auto"/>
            </w:pPr>
            <w:r>
              <w:rPr>
                <w:color w:val="163342"/>
                <w:sz w:val="17"/>
              </w:rPr>
              <w:t>Let reports create competing actions.</w:t>
            </w:r>
          </w:p>
        </w:tc>
      </w:tr>
    </w:tbl>
    <w:p>
      <w:pPr>
        <w:spacing w:after="20"/>
      </w:pPr>
    </w:p>
    <w:p>
      <w:pPr>
        <w:pStyle w:val="Heading2"/>
        <w:keepNext/>
      </w:pPr>
      <w:r>
        <w:t>3.2 Source-of-truth hierarchy</w:t>
      </w:r>
    </w:p>
    <w:p>
      <w:pPr>
        <w:pStyle w:val="ListNumber"/>
      </w:pPr>
      <w:r>
        <w:t>Structured metric and execution records are authoritative.</w:t>
      </w:r>
    </w:p>
    <w:p>
      <w:pPr>
        <w:pStyle w:val="ListNumber"/>
      </w:pPr>
      <w:r>
        <w:t>The immutable GrowthReportSnapshot is authoritative for a generated report version.</w:t>
      </w:r>
    </w:p>
    <w:p>
      <w:pPr>
        <w:pStyle w:val="ListNumber"/>
      </w:pPr>
      <w:r>
        <w:t>The AI narrative explains the snapshot but never overrides its numbers or status.</w:t>
      </w:r>
    </w:p>
    <w:p>
      <w:pPr>
        <w:pStyle w:val="ListNumber"/>
      </w:pPr>
      <w:r>
        <w:t>The PDF and web view render the same snapshot and narrative version.</w:t>
      </w:r>
    </w:p>
    <w:p>
      <w:pPr>
        <w:pStyle w:val="ListNumber"/>
      </w:pPr>
      <w:r>
        <w:t>If later data changes a result, create a new report revision and preserve the original.</w:t>
      </w:r>
    </w:p>
    <w:p>
      <w:pPr>
        <w:pStyle w:val="Heading1"/>
        <w:keepNext/>
      </w:pPr>
      <w:r>
        <w:t>4. Users, Plans and Permissions</w:t>
      </w:r>
    </w:p>
    <w:p>
      <w:r>
        <w:t>Reporting entitlement must use stable capability keys, not hard-coded marketing plan names. The commercial label may be Starter, Entrepreneur or another approved label, but the reporting service checks capabilities and resource scope.</w:t>
      </w:r>
    </w:p>
    <w:p>
      <w:pPr>
        <w:pStyle w:val="Heading2"/>
        <w:keepNext/>
      </w:pPr>
      <w:r>
        <w:t>4.1 Required reporting capabilities</w:t>
      </w:r>
    </w:p>
    <w:p>
      <w:pPr>
        <w:pStyle w:val="CodeBlock"/>
        <w:shd w:fill="F1F4F7"/>
        <w:pBdr>
          <w:top w:val="single" w:sz="5" w:space="4" w:color="D6DEE6"/>
          <w:left w:val="single" w:sz="5" w:space="4" w:color="D6DEE6"/>
          <w:bottom w:val="single" w:sz="5" w:space="4" w:color="D6DEE6"/>
          <w:right w:val="single" w:sz="5" w:space="4" w:color="D6DEE6"/>
        </w:pBdr>
      </w:pPr>
      <w:r>
        <w:t>reporting.summary.view</w:t>
      </w:r>
      <w:r>
        <w:br/>
      </w:r>
      <w:r>
        <w:t>reporting.report.generate</w:t>
      </w:r>
      <w:r>
        <w:br/>
      </w:r>
      <w:r>
        <w:t>reporting.report.view</w:t>
      </w:r>
      <w:r>
        <w:br/>
      </w:r>
      <w:r>
        <w:t>reporting.report.export_pdf</w:t>
      </w:r>
      <w:r>
        <w:br/>
      </w:r>
      <w:r>
        <w:t>reporting.portfolio.view</w:t>
      </w:r>
      <w:r>
        <w:br/>
      </w:r>
      <w:r>
        <w:t>reporting.client.review</w:t>
      </w:r>
      <w:r>
        <w:br/>
      </w:r>
      <w:r>
        <w:t>reporting.client.publish_view</w:t>
      </w:r>
      <w:r>
        <w:br/>
      </w:r>
      <w:r>
        <w:t>reporting.brand_profile.manage</w:t>
      </w:r>
      <w:r>
        <w:br/>
      </w:r>
      <w:r>
        <w:t>reporting.internal_notes.view</w:t>
      </w:r>
    </w:p>
    <w:p>
      <w:pPr>
        <w:pStyle w:val="Heading2"/>
        <w:keepNext/>
      </w:pPr>
      <w:r>
        <w:t>4.2 Permission matrix</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350"/>
        <w:gridCol w:w="1400"/>
        <w:gridCol w:w="1600"/>
        <w:gridCol w:w="1250"/>
        <w:gridCol w:w="1200"/>
        <w:gridCol w:w="1560"/>
      </w:tblGrid>
      <w:tr>
        <w:trPr>
          <w:tblHeader w:val="true"/>
        </w:trPr>
        <w:tc>
          <w:tcPr>
            <w:tcW w:type="dxa" w:w="2350"/>
            <w:shd w:fill="EAF2F8"/>
            <w:vAlign w:val="center"/>
            <w:tcMar>
              <w:top w:w="100" w:type="dxa"/>
              <w:start w:w="120" w:type="dxa"/>
              <w:bottom w:w="100" w:type="dxa"/>
              <w:end w:w="120" w:type="dxa"/>
            </w:tcMar>
          </w:tcPr>
          <w:p>
            <w:r>
              <w:rPr>
                <w:b/>
                <w:color w:val="10243E"/>
                <w:sz w:val="15"/>
              </w:rPr>
              <w:t>Action</w:t>
            </w:r>
          </w:p>
        </w:tc>
        <w:tc>
          <w:tcPr>
            <w:tcW w:type="dxa" w:w="1400"/>
            <w:shd w:fill="EAF2F8"/>
            <w:vAlign w:val="center"/>
            <w:tcMar>
              <w:top w:w="100" w:type="dxa"/>
              <w:start w:w="120" w:type="dxa"/>
              <w:bottom w:w="100" w:type="dxa"/>
              <w:end w:w="120" w:type="dxa"/>
            </w:tcMar>
          </w:tcPr>
          <w:p>
            <w:r>
              <w:rPr>
                <w:b/>
                <w:color w:val="10243E"/>
                <w:sz w:val="15"/>
              </w:rPr>
              <w:t>Owner/Admin</w:t>
            </w:r>
          </w:p>
        </w:tc>
        <w:tc>
          <w:tcPr>
            <w:tcW w:type="dxa" w:w="1600"/>
            <w:shd w:fill="EAF2F8"/>
            <w:vAlign w:val="center"/>
            <w:tcMar>
              <w:top w:w="100" w:type="dxa"/>
              <w:start w:w="120" w:type="dxa"/>
              <w:bottom w:w="100" w:type="dxa"/>
              <w:end w:w="120" w:type="dxa"/>
            </w:tcMar>
          </w:tcPr>
          <w:p>
            <w:r>
              <w:rPr>
                <w:b/>
                <w:color w:val="10243E"/>
                <w:sz w:val="15"/>
              </w:rPr>
              <w:t>Manager/Approver</w:t>
            </w:r>
          </w:p>
        </w:tc>
        <w:tc>
          <w:tcPr>
            <w:tcW w:type="dxa" w:w="1250"/>
            <w:shd w:fill="EAF2F8"/>
            <w:vAlign w:val="center"/>
            <w:tcMar>
              <w:top w:w="100" w:type="dxa"/>
              <w:start w:w="120" w:type="dxa"/>
              <w:bottom w:w="100" w:type="dxa"/>
              <w:end w:w="120" w:type="dxa"/>
            </w:tcMar>
          </w:tcPr>
          <w:p>
            <w:r>
              <w:rPr>
                <w:b/>
                <w:color w:val="10243E"/>
                <w:sz w:val="15"/>
              </w:rPr>
              <w:t>Editor</w:t>
            </w:r>
          </w:p>
        </w:tc>
        <w:tc>
          <w:tcPr>
            <w:tcW w:type="dxa" w:w="1200"/>
            <w:shd w:fill="EAF2F8"/>
            <w:vAlign w:val="center"/>
            <w:tcMar>
              <w:top w:w="100" w:type="dxa"/>
              <w:start w:w="120" w:type="dxa"/>
              <w:bottom w:w="100" w:type="dxa"/>
              <w:end w:w="120" w:type="dxa"/>
            </w:tcMar>
          </w:tcPr>
          <w:p>
            <w:r>
              <w:rPr>
                <w:b/>
                <w:color w:val="10243E"/>
                <w:sz w:val="15"/>
              </w:rPr>
              <w:t>Viewer</w:t>
            </w:r>
          </w:p>
        </w:tc>
        <w:tc>
          <w:tcPr>
            <w:tcW w:type="dxa" w:w="1560"/>
            <w:shd w:fill="EAF2F8"/>
            <w:vAlign w:val="center"/>
            <w:tcMar>
              <w:top w:w="100" w:type="dxa"/>
              <w:start w:w="120" w:type="dxa"/>
              <w:bottom w:w="100" w:type="dxa"/>
              <w:end w:w="120" w:type="dxa"/>
            </w:tcMar>
          </w:tcPr>
          <w:p>
            <w:r>
              <w:rPr>
                <w:b/>
                <w:color w:val="10243E"/>
                <w:sz w:val="15"/>
              </w:rPr>
              <w:t>Client Viewer</w:t>
            </w:r>
          </w:p>
        </w:tc>
      </w:tr>
      <w:tr>
        <w:tc>
          <w:tcPr>
            <w:tcW w:type="dxa" w:w="2350"/>
            <w:vAlign w:val="center"/>
            <w:tcMar>
              <w:top w:w="100" w:type="dxa"/>
              <w:start w:w="120" w:type="dxa"/>
              <w:bottom w:w="100" w:type="dxa"/>
              <w:end w:w="120" w:type="dxa"/>
            </w:tcMar>
          </w:tcPr>
          <w:p>
            <w:pPr>
              <w:spacing w:after="0" w:line="247" w:lineRule="auto"/>
            </w:pPr>
            <w:r>
              <w:rPr>
                <w:color w:val="163342"/>
                <w:sz w:val="15"/>
              </w:rPr>
              <w:t>View own authorized Growth Summary</w:t>
            </w:r>
          </w:p>
        </w:tc>
        <w:tc>
          <w:tcPr>
            <w:tcW w:type="dxa" w:w="1400"/>
            <w:vAlign w:val="center"/>
            <w:tcMar>
              <w:top w:w="100" w:type="dxa"/>
              <w:start w:w="120" w:type="dxa"/>
              <w:bottom w:w="100" w:type="dxa"/>
              <w:end w:w="120" w:type="dxa"/>
            </w:tcMar>
          </w:tcPr>
          <w:p>
            <w:pPr>
              <w:spacing w:after="0" w:line="247" w:lineRule="auto"/>
            </w:pPr>
            <w:r>
              <w:rPr>
                <w:color w:val="163342"/>
                <w:sz w:val="15"/>
              </w:rPr>
              <w:t>Yes</w:t>
            </w:r>
          </w:p>
        </w:tc>
        <w:tc>
          <w:tcPr>
            <w:tcW w:type="dxa" w:w="1600"/>
            <w:vAlign w:val="center"/>
            <w:tcMar>
              <w:top w:w="100" w:type="dxa"/>
              <w:start w:w="120" w:type="dxa"/>
              <w:bottom w:w="100" w:type="dxa"/>
              <w:end w:w="120" w:type="dxa"/>
            </w:tcMar>
          </w:tcPr>
          <w:p>
            <w:pPr>
              <w:spacing w:after="0" w:line="247" w:lineRule="auto"/>
            </w:pPr>
            <w:r>
              <w:rPr>
                <w:color w:val="163342"/>
                <w:sz w:val="15"/>
              </w:rPr>
              <w:t>Yes</w:t>
            </w:r>
          </w:p>
        </w:tc>
        <w:tc>
          <w:tcPr>
            <w:tcW w:type="dxa" w:w="1250"/>
            <w:vAlign w:val="center"/>
            <w:tcMar>
              <w:top w:w="100" w:type="dxa"/>
              <w:start w:w="120" w:type="dxa"/>
              <w:bottom w:w="100" w:type="dxa"/>
              <w:end w:w="120" w:type="dxa"/>
            </w:tcMar>
          </w:tcPr>
          <w:p>
            <w:pPr>
              <w:spacing w:after="0" w:line="247" w:lineRule="auto"/>
            </w:pPr>
            <w:r>
              <w:rPr>
                <w:color w:val="163342"/>
                <w:sz w:val="15"/>
              </w:rPr>
              <w:t>Yes</w:t>
            </w:r>
          </w:p>
        </w:tc>
        <w:tc>
          <w:tcPr>
            <w:tcW w:type="dxa" w:w="1200"/>
            <w:vAlign w:val="center"/>
            <w:tcMar>
              <w:top w:w="100" w:type="dxa"/>
              <w:start w:w="120" w:type="dxa"/>
              <w:bottom w:w="100" w:type="dxa"/>
              <w:end w:w="120" w:type="dxa"/>
            </w:tcMar>
          </w:tcPr>
          <w:p>
            <w:pPr>
              <w:spacing w:after="0" w:line="247" w:lineRule="auto"/>
            </w:pPr>
            <w:r>
              <w:rPr>
                <w:color w:val="163342"/>
                <w:sz w:val="15"/>
              </w:rPr>
              <w:t>Yes</w:t>
            </w:r>
          </w:p>
        </w:tc>
        <w:tc>
          <w:tcPr>
            <w:tcW w:type="dxa" w:w="1560"/>
            <w:vAlign w:val="center"/>
            <w:tcMar>
              <w:top w:w="100" w:type="dxa"/>
              <w:start w:w="120" w:type="dxa"/>
              <w:bottom w:w="100" w:type="dxa"/>
              <w:end w:w="120" w:type="dxa"/>
            </w:tcMar>
          </w:tcPr>
          <w:p>
            <w:pPr>
              <w:spacing w:after="0" w:line="247" w:lineRule="auto"/>
            </w:pPr>
            <w:r>
              <w:rPr>
                <w:color w:val="163342"/>
                <w:sz w:val="15"/>
              </w:rPr>
              <w:t>Assigned client only</w:t>
            </w:r>
          </w:p>
        </w:tc>
      </w:tr>
      <w:tr>
        <w:tc>
          <w:tcPr>
            <w:tcW w:type="dxa" w:w="2350"/>
            <w:vAlign w:val="center"/>
            <w:tcMar>
              <w:top w:w="100" w:type="dxa"/>
              <w:start w:w="120" w:type="dxa"/>
              <w:bottom w:w="100" w:type="dxa"/>
              <w:end w:w="120" w:type="dxa"/>
            </w:tcMar>
          </w:tcPr>
          <w:p>
            <w:pPr>
              <w:spacing w:after="0" w:line="247" w:lineRule="auto"/>
            </w:pPr>
            <w:r>
              <w:rPr>
                <w:color w:val="163342"/>
                <w:sz w:val="15"/>
              </w:rPr>
              <w:t>Generate report</w:t>
            </w:r>
          </w:p>
        </w:tc>
        <w:tc>
          <w:tcPr>
            <w:tcW w:type="dxa" w:w="1400"/>
            <w:vAlign w:val="center"/>
            <w:tcMar>
              <w:top w:w="100" w:type="dxa"/>
              <w:start w:w="120" w:type="dxa"/>
              <w:bottom w:w="100" w:type="dxa"/>
              <w:end w:w="120" w:type="dxa"/>
            </w:tcMar>
          </w:tcPr>
          <w:p>
            <w:pPr>
              <w:spacing w:after="0" w:line="247" w:lineRule="auto"/>
            </w:pPr>
            <w:r>
              <w:rPr>
                <w:color w:val="163342"/>
                <w:sz w:val="15"/>
              </w:rPr>
              <w:t>Yes</w:t>
            </w:r>
          </w:p>
        </w:tc>
        <w:tc>
          <w:tcPr>
            <w:tcW w:type="dxa" w:w="1600"/>
            <w:vAlign w:val="center"/>
            <w:tcMar>
              <w:top w:w="100" w:type="dxa"/>
              <w:start w:w="120" w:type="dxa"/>
              <w:bottom w:w="100" w:type="dxa"/>
              <w:end w:w="120" w:type="dxa"/>
            </w:tcMar>
          </w:tcPr>
          <w:p>
            <w:pPr>
              <w:spacing w:after="0" w:line="247" w:lineRule="auto"/>
            </w:pPr>
            <w:r>
              <w:rPr>
                <w:color w:val="163342"/>
                <w:sz w:val="15"/>
              </w:rPr>
              <w:t>Yes if granted</w:t>
            </w:r>
          </w:p>
        </w:tc>
        <w:tc>
          <w:tcPr>
            <w:tcW w:type="dxa" w:w="1250"/>
            <w:vAlign w:val="center"/>
            <w:tcMar>
              <w:top w:w="100" w:type="dxa"/>
              <w:start w:w="120" w:type="dxa"/>
              <w:bottom w:w="100" w:type="dxa"/>
              <w:end w:w="120" w:type="dxa"/>
            </w:tcMar>
          </w:tcPr>
          <w:p>
            <w:pPr>
              <w:spacing w:after="0" w:line="247" w:lineRule="auto"/>
            </w:pPr>
            <w:r>
              <w:rPr>
                <w:color w:val="163342"/>
                <w:sz w:val="15"/>
              </w:rPr>
              <w:t>No by default</w:t>
            </w:r>
          </w:p>
        </w:tc>
        <w:tc>
          <w:tcPr>
            <w:tcW w:type="dxa" w:w="1200"/>
            <w:vAlign w:val="center"/>
            <w:tcMar>
              <w:top w:w="100" w:type="dxa"/>
              <w:start w:w="120" w:type="dxa"/>
              <w:bottom w:w="100" w:type="dxa"/>
              <w:end w:w="120" w:type="dxa"/>
            </w:tcMar>
          </w:tcPr>
          <w:p>
            <w:pPr>
              <w:spacing w:after="0" w:line="247" w:lineRule="auto"/>
            </w:pPr>
            <w:r>
              <w:rPr>
                <w:color w:val="163342"/>
                <w:sz w:val="15"/>
              </w:rPr>
              <w:t>No</w:t>
            </w:r>
          </w:p>
        </w:tc>
        <w:tc>
          <w:tcPr>
            <w:tcW w:type="dxa" w:w="1560"/>
            <w:vAlign w:val="center"/>
            <w:tcMar>
              <w:top w:w="100" w:type="dxa"/>
              <w:start w:w="120" w:type="dxa"/>
              <w:bottom w:w="100" w:type="dxa"/>
              <w:end w:w="120" w:type="dxa"/>
            </w:tcMar>
          </w:tcPr>
          <w:p>
            <w:pPr>
              <w:spacing w:after="0" w:line="247" w:lineRule="auto"/>
            </w:pPr>
            <w:r>
              <w:rPr>
                <w:color w:val="163342"/>
                <w:sz w:val="15"/>
              </w:rPr>
              <w:t>No</w:t>
            </w:r>
          </w:p>
        </w:tc>
      </w:tr>
      <w:tr>
        <w:tc>
          <w:tcPr>
            <w:tcW w:type="dxa" w:w="2350"/>
            <w:vAlign w:val="center"/>
            <w:tcMar>
              <w:top w:w="100" w:type="dxa"/>
              <w:start w:w="120" w:type="dxa"/>
              <w:bottom w:w="100" w:type="dxa"/>
              <w:end w:w="120" w:type="dxa"/>
            </w:tcMar>
          </w:tcPr>
          <w:p>
            <w:pPr>
              <w:spacing w:after="0" w:line="247" w:lineRule="auto"/>
            </w:pPr>
            <w:r>
              <w:rPr>
                <w:color w:val="163342"/>
                <w:sz w:val="15"/>
              </w:rPr>
              <w:t>Review Agency client report</w:t>
            </w:r>
          </w:p>
        </w:tc>
        <w:tc>
          <w:tcPr>
            <w:tcW w:type="dxa" w:w="1400"/>
            <w:vAlign w:val="center"/>
            <w:tcMar>
              <w:top w:w="100" w:type="dxa"/>
              <w:start w:w="120" w:type="dxa"/>
              <w:bottom w:w="100" w:type="dxa"/>
              <w:end w:w="120" w:type="dxa"/>
            </w:tcMar>
          </w:tcPr>
          <w:p>
            <w:pPr>
              <w:spacing w:after="0" w:line="247" w:lineRule="auto"/>
            </w:pPr>
            <w:r>
              <w:rPr>
                <w:color w:val="163342"/>
                <w:sz w:val="15"/>
              </w:rPr>
              <w:t>Yes</w:t>
            </w:r>
          </w:p>
        </w:tc>
        <w:tc>
          <w:tcPr>
            <w:tcW w:type="dxa" w:w="1600"/>
            <w:vAlign w:val="center"/>
            <w:tcMar>
              <w:top w:w="100" w:type="dxa"/>
              <w:start w:w="120" w:type="dxa"/>
              <w:bottom w:w="100" w:type="dxa"/>
              <w:end w:w="120" w:type="dxa"/>
            </w:tcMar>
          </w:tcPr>
          <w:p>
            <w:pPr>
              <w:spacing w:after="0" w:line="247" w:lineRule="auto"/>
            </w:pPr>
            <w:r>
              <w:rPr>
                <w:color w:val="163342"/>
                <w:sz w:val="15"/>
              </w:rPr>
              <w:t>Yes if granted</w:t>
            </w:r>
          </w:p>
        </w:tc>
        <w:tc>
          <w:tcPr>
            <w:tcW w:type="dxa" w:w="1250"/>
            <w:vAlign w:val="center"/>
            <w:tcMar>
              <w:top w:w="100" w:type="dxa"/>
              <w:start w:w="120" w:type="dxa"/>
              <w:bottom w:w="100" w:type="dxa"/>
              <w:end w:w="120" w:type="dxa"/>
            </w:tcMar>
          </w:tcPr>
          <w:p>
            <w:pPr>
              <w:spacing w:after="0" w:line="247" w:lineRule="auto"/>
            </w:pPr>
            <w:r>
              <w:rPr>
                <w:color w:val="163342"/>
                <w:sz w:val="15"/>
              </w:rPr>
              <w:t>No</w:t>
            </w:r>
          </w:p>
        </w:tc>
        <w:tc>
          <w:tcPr>
            <w:tcW w:type="dxa" w:w="1200"/>
            <w:vAlign w:val="center"/>
            <w:tcMar>
              <w:top w:w="100" w:type="dxa"/>
              <w:start w:w="120" w:type="dxa"/>
              <w:bottom w:w="100" w:type="dxa"/>
              <w:end w:w="120" w:type="dxa"/>
            </w:tcMar>
          </w:tcPr>
          <w:p>
            <w:pPr>
              <w:spacing w:after="0" w:line="247" w:lineRule="auto"/>
            </w:pPr>
            <w:r>
              <w:rPr>
                <w:color w:val="163342"/>
                <w:sz w:val="15"/>
              </w:rPr>
              <w:t>No</w:t>
            </w:r>
          </w:p>
        </w:tc>
        <w:tc>
          <w:tcPr>
            <w:tcW w:type="dxa" w:w="1560"/>
            <w:vAlign w:val="center"/>
            <w:tcMar>
              <w:top w:w="100" w:type="dxa"/>
              <w:start w:w="120" w:type="dxa"/>
              <w:bottom w:w="100" w:type="dxa"/>
              <w:end w:w="120" w:type="dxa"/>
            </w:tcMar>
          </w:tcPr>
          <w:p>
            <w:pPr>
              <w:spacing w:after="0" w:line="247" w:lineRule="auto"/>
            </w:pPr>
            <w:r>
              <w:rPr>
                <w:color w:val="163342"/>
                <w:sz w:val="15"/>
              </w:rPr>
              <w:t>No</w:t>
            </w:r>
          </w:p>
        </w:tc>
      </w:tr>
      <w:tr>
        <w:tc>
          <w:tcPr>
            <w:tcW w:type="dxa" w:w="2350"/>
            <w:vAlign w:val="center"/>
            <w:tcMar>
              <w:top w:w="100" w:type="dxa"/>
              <w:start w:w="120" w:type="dxa"/>
              <w:bottom w:w="100" w:type="dxa"/>
              <w:end w:w="120" w:type="dxa"/>
            </w:tcMar>
          </w:tcPr>
          <w:p>
            <w:pPr>
              <w:spacing w:after="0" w:line="247" w:lineRule="auto"/>
            </w:pPr>
            <w:r>
              <w:rPr>
                <w:color w:val="163342"/>
                <w:sz w:val="15"/>
              </w:rPr>
              <w:t>Finalize client-visible version</w:t>
            </w:r>
          </w:p>
        </w:tc>
        <w:tc>
          <w:tcPr>
            <w:tcW w:type="dxa" w:w="1400"/>
            <w:vAlign w:val="center"/>
            <w:tcMar>
              <w:top w:w="100" w:type="dxa"/>
              <w:start w:w="120" w:type="dxa"/>
              <w:bottom w:w="100" w:type="dxa"/>
              <w:end w:w="120" w:type="dxa"/>
            </w:tcMar>
          </w:tcPr>
          <w:p>
            <w:pPr>
              <w:spacing w:after="0" w:line="247" w:lineRule="auto"/>
            </w:pPr>
            <w:r>
              <w:rPr>
                <w:color w:val="163342"/>
                <w:sz w:val="15"/>
              </w:rPr>
              <w:t>Yes</w:t>
            </w:r>
          </w:p>
        </w:tc>
        <w:tc>
          <w:tcPr>
            <w:tcW w:type="dxa" w:w="1600"/>
            <w:vAlign w:val="center"/>
            <w:tcMar>
              <w:top w:w="100" w:type="dxa"/>
              <w:start w:w="120" w:type="dxa"/>
              <w:bottom w:w="100" w:type="dxa"/>
              <w:end w:w="120" w:type="dxa"/>
            </w:tcMar>
          </w:tcPr>
          <w:p>
            <w:pPr>
              <w:spacing w:after="0" w:line="247" w:lineRule="auto"/>
            </w:pPr>
            <w:r>
              <w:rPr>
                <w:color w:val="163342"/>
                <w:sz w:val="15"/>
              </w:rPr>
              <w:t>Yes if granted</w:t>
            </w:r>
          </w:p>
        </w:tc>
        <w:tc>
          <w:tcPr>
            <w:tcW w:type="dxa" w:w="1250"/>
            <w:vAlign w:val="center"/>
            <w:tcMar>
              <w:top w:w="100" w:type="dxa"/>
              <w:start w:w="120" w:type="dxa"/>
              <w:bottom w:w="100" w:type="dxa"/>
              <w:end w:w="120" w:type="dxa"/>
            </w:tcMar>
          </w:tcPr>
          <w:p>
            <w:pPr>
              <w:spacing w:after="0" w:line="247" w:lineRule="auto"/>
            </w:pPr>
            <w:r>
              <w:rPr>
                <w:color w:val="163342"/>
                <w:sz w:val="15"/>
              </w:rPr>
              <w:t>No</w:t>
            </w:r>
          </w:p>
        </w:tc>
        <w:tc>
          <w:tcPr>
            <w:tcW w:type="dxa" w:w="1200"/>
            <w:vAlign w:val="center"/>
            <w:tcMar>
              <w:top w:w="100" w:type="dxa"/>
              <w:start w:w="120" w:type="dxa"/>
              <w:bottom w:w="100" w:type="dxa"/>
              <w:end w:w="120" w:type="dxa"/>
            </w:tcMar>
          </w:tcPr>
          <w:p>
            <w:pPr>
              <w:spacing w:after="0" w:line="247" w:lineRule="auto"/>
            </w:pPr>
            <w:r>
              <w:rPr>
                <w:color w:val="163342"/>
                <w:sz w:val="15"/>
              </w:rPr>
              <w:t>No</w:t>
            </w:r>
          </w:p>
        </w:tc>
        <w:tc>
          <w:tcPr>
            <w:tcW w:type="dxa" w:w="1560"/>
            <w:vAlign w:val="center"/>
            <w:tcMar>
              <w:top w:w="100" w:type="dxa"/>
              <w:start w:w="120" w:type="dxa"/>
              <w:bottom w:w="100" w:type="dxa"/>
              <w:end w:w="120" w:type="dxa"/>
            </w:tcMar>
          </w:tcPr>
          <w:p>
            <w:pPr>
              <w:spacing w:after="0" w:line="247" w:lineRule="auto"/>
            </w:pPr>
            <w:r>
              <w:rPr>
                <w:color w:val="163342"/>
                <w:sz w:val="15"/>
              </w:rPr>
              <w:t>No</w:t>
            </w:r>
          </w:p>
        </w:tc>
      </w:tr>
      <w:tr>
        <w:tc>
          <w:tcPr>
            <w:tcW w:type="dxa" w:w="2350"/>
            <w:vAlign w:val="center"/>
            <w:tcMar>
              <w:top w:w="100" w:type="dxa"/>
              <w:start w:w="120" w:type="dxa"/>
              <w:bottom w:w="100" w:type="dxa"/>
              <w:end w:w="120" w:type="dxa"/>
            </w:tcMar>
          </w:tcPr>
          <w:p>
            <w:pPr>
              <w:spacing w:after="0" w:line="247" w:lineRule="auto"/>
            </w:pPr>
            <w:r>
              <w:rPr>
                <w:color w:val="163342"/>
                <w:sz w:val="15"/>
              </w:rPr>
              <w:t>Export PDF</w:t>
            </w:r>
          </w:p>
        </w:tc>
        <w:tc>
          <w:tcPr>
            <w:tcW w:type="dxa" w:w="1400"/>
            <w:vAlign w:val="center"/>
            <w:tcMar>
              <w:top w:w="100" w:type="dxa"/>
              <w:start w:w="120" w:type="dxa"/>
              <w:bottom w:w="100" w:type="dxa"/>
              <w:end w:w="120" w:type="dxa"/>
            </w:tcMar>
          </w:tcPr>
          <w:p>
            <w:pPr>
              <w:spacing w:after="0" w:line="247" w:lineRule="auto"/>
            </w:pPr>
            <w:r>
              <w:rPr>
                <w:color w:val="163342"/>
                <w:sz w:val="15"/>
              </w:rPr>
              <w:t>Yes</w:t>
            </w:r>
          </w:p>
        </w:tc>
        <w:tc>
          <w:tcPr>
            <w:tcW w:type="dxa" w:w="1600"/>
            <w:vAlign w:val="center"/>
            <w:tcMar>
              <w:top w:w="100" w:type="dxa"/>
              <w:start w:w="120" w:type="dxa"/>
              <w:bottom w:w="100" w:type="dxa"/>
              <w:end w:w="120" w:type="dxa"/>
            </w:tcMar>
          </w:tcPr>
          <w:p>
            <w:pPr>
              <w:spacing w:after="0" w:line="247" w:lineRule="auto"/>
            </w:pPr>
            <w:r>
              <w:rPr>
                <w:color w:val="163342"/>
                <w:sz w:val="15"/>
              </w:rPr>
              <w:t>Yes</w:t>
            </w:r>
          </w:p>
        </w:tc>
        <w:tc>
          <w:tcPr>
            <w:tcW w:type="dxa" w:w="1250"/>
            <w:vAlign w:val="center"/>
            <w:tcMar>
              <w:top w:w="100" w:type="dxa"/>
              <w:start w:w="120" w:type="dxa"/>
              <w:bottom w:w="100" w:type="dxa"/>
              <w:end w:w="120" w:type="dxa"/>
            </w:tcMar>
          </w:tcPr>
          <w:p>
            <w:pPr>
              <w:spacing w:after="0" w:line="247" w:lineRule="auto"/>
            </w:pPr>
            <w:r>
              <w:rPr>
                <w:color w:val="163342"/>
                <w:sz w:val="15"/>
              </w:rPr>
              <w:t>If granted</w:t>
            </w:r>
          </w:p>
        </w:tc>
        <w:tc>
          <w:tcPr>
            <w:tcW w:type="dxa" w:w="1200"/>
            <w:vAlign w:val="center"/>
            <w:tcMar>
              <w:top w:w="100" w:type="dxa"/>
              <w:start w:w="120" w:type="dxa"/>
              <w:bottom w:w="100" w:type="dxa"/>
              <w:end w:w="120" w:type="dxa"/>
            </w:tcMar>
          </w:tcPr>
          <w:p>
            <w:pPr>
              <w:spacing w:after="0" w:line="247" w:lineRule="auto"/>
            </w:pPr>
            <w:r>
              <w:rPr>
                <w:color w:val="163342"/>
                <w:sz w:val="15"/>
              </w:rPr>
              <w:t>If granted</w:t>
            </w:r>
          </w:p>
        </w:tc>
        <w:tc>
          <w:tcPr>
            <w:tcW w:type="dxa" w:w="1560"/>
            <w:vAlign w:val="center"/>
            <w:tcMar>
              <w:top w:w="100" w:type="dxa"/>
              <w:start w:w="120" w:type="dxa"/>
              <w:bottom w:w="100" w:type="dxa"/>
              <w:end w:w="120" w:type="dxa"/>
            </w:tcMar>
          </w:tcPr>
          <w:p>
            <w:pPr>
              <w:spacing w:after="0" w:line="247" w:lineRule="auto"/>
            </w:pPr>
            <w:r>
              <w:rPr>
                <w:color w:val="163342"/>
                <w:sz w:val="15"/>
              </w:rPr>
              <w:t>Client report if granted</w:t>
            </w:r>
          </w:p>
        </w:tc>
      </w:tr>
      <w:tr>
        <w:tc>
          <w:tcPr>
            <w:tcW w:type="dxa" w:w="2350"/>
            <w:vAlign w:val="center"/>
            <w:tcMar>
              <w:top w:w="100" w:type="dxa"/>
              <w:start w:w="120" w:type="dxa"/>
              <w:bottom w:w="100" w:type="dxa"/>
              <w:end w:w="120" w:type="dxa"/>
            </w:tcMar>
          </w:tcPr>
          <w:p>
            <w:pPr>
              <w:spacing w:after="0" w:line="247" w:lineRule="auto"/>
            </w:pPr>
            <w:r>
              <w:rPr>
                <w:color w:val="163342"/>
                <w:sz w:val="15"/>
              </w:rPr>
              <w:t>Manage Agency Brand Profile</w:t>
            </w:r>
          </w:p>
        </w:tc>
        <w:tc>
          <w:tcPr>
            <w:tcW w:type="dxa" w:w="1400"/>
            <w:vAlign w:val="center"/>
            <w:tcMar>
              <w:top w:w="100" w:type="dxa"/>
              <w:start w:w="120" w:type="dxa"/>
              <w:bottom w:w="100" w:type="dxa"/>
              <w:end w:w="120" w:type="dxa"/>
            </w:tcMar>
          </w:tcPr>
          <w:p>
            <w:pPr>
              <w:spacing w:after="0" w:line="247" w:lineRule="auto"/>
            </w:pPr>
            <w:r>
              <w:rPr>
                <w:color w:val="163342"/>
                <w:sz w:val="15"/>
              </w:rPr>
              <w:t>Yes</w:t>
            </w:r>
          </w:p>
        </w:tc>
        <w:tc>
          <w:tcPr>
            <w:tcW w:type="dxa" w:w="1600"/>
            <w:vAlign w:val="center"/>
            <w:tcMar>
              <w:top w:w="100" w:type="dxa"/>
              <w:start w:w="120" w:type="dxa"/>
              <w:bottom w:w="100" w:type="dxa"/>
              <w:end w:w="120" w:type="dxa"/>
            </w:tcMar>
          </w:tcPr>
          <w:p>
            <w:pPr>
              <w:spacing w:after="0" w:line="247" w:lineRule="auto"/>
            </w:pPr>
            <w:r>
              <w:rPr>
                <w:color w:val="163342"/>
                <w:sz w:val="15"/>
              </w:rPr>
              <w:t>If granted</w:t>
            </w:r>
          </w:p>
        </w:tc>
        <w:tc>
          <w:tcPr>
            <w:tcW w:type="dxa" w:w="1250"/>
            <w:vAlign w:val="center"/>
            <w:tcMar>
              <w:top w:w="100" w:type="dxa"/>
              <w:start w:w="120" w:type="dxa"/>
              <w:bottom w:w="100" w:type="dxa"/>
              <w:end w:w="120" w:type="dxa"/>
            </w:tcMar>
          </w:tcPr>
          <w:p>
            <w:pPr>
              <w:spacing w:after="0" w:line="247" w:lineRule="auto"/>
            </w:pPr>
            <w:r>
              <w:rPr>
                <w:color w:val="163342"/>
                <w:sz w:val="15"/>
              </w:rPr>
              <w:t>No</w:t>
            </w:r>
          </w:p>
        </w:tc>
        <w:tc>
          <w:tcPr>
            <w:tcW w:type="dxa" w:w="1200"/>
            <w:vAlign w:val="center"/>
            <w:tcMar>
              <w:top w:w="100" w:type="dxa"/>
              <w:start w:w="120" w:type="dxa"/>
              <w:bottom w:w="100" w:type="dxa"/>
              <w:end w:w="120" w:type="dxa"/>
            </w:tcMar>
          </w:tcPr>
          <w:p>
            <w:pPr>
              <w:spacing w:after="0" w:line="247" w:lineRule="auto"/>
            </w:pPr>
            <w:r>
              <w:rPr>
                <w:color w:val="163342"/>
                <w:sz w:val="15"/>
              </w:rPr>
              <w:t>No</w:t>
            </w:r>
          </w:p>
        </w:tc>
        <w:tc>
          <w:tcPr>
            <w:tcW w:type="dxa" w:w="1560"/>
            <w:vAlign w:val="center"/>
            <w:tcMar>
              <w:top w:w="100" w:type="dxa"/>
              <w:start w:w="120" w:type="dxa"/>
              <w:bottom w:w="100" w:type="dxa"/>
              <w:end w:w="120" w:type="dxa"/>
            </w:tcMar>
          </w:tcPr>
          <w:p>
            <w:pPr>
              <w:spacing w:after="0" w:line="247" w:lineRule="auto"/>
            </w:pPr>
            <w:r>
              <w:rPr>
                <w:color w:val="163342"/>
                <w:sz w:val="15"/>
              </w:rPr>
              <w:t>No</w:t>
            </w:r>
          </w:p>
        </w:tc>
      </w:tr>
      <w:tr>
        <w:tc>
          <w:tcPr>
            <w:tcW w:type="dxa" w:w="2350"/>
            <w:vAlign w:val="center"/>
            <w:tcMar>
              <w:top w:w="100" w:type="dxa"/>
              <w:start w:w="120" w:type="dxa"/>
              <w:bottom w:w="100" w:type="dxa"/>
              <w:end w:w="120" w:type="dxa"/>
            </w:tcMar>
          </w:tcPr>
          <w:p>
            <w:pPr>
              <w:spacing w:after="0" w:line="247" w:lineRule="auto"/>
            </w:pPr>
            <w:r>
              <w:rPr>
                <w:color w:val="163342"/>
                <w:sz w:val="15"/>
              </w:rPr>
              <w:t>View internal Agency notes</w:t>
            </w:r>
          </w:p>
        </w:tc>
        <w:tc>
          <w:tcPr>
            <w:tcW w:type="dxa" w:w="1400"/>
            <w:vAlign w:val="center"/>
            <w:tcMar>
              <w:top w:w="100" w:type="dxa"/>
              <w:start w:w="120" w:type="dxa"/>
              <w:bottom w:w="100" w:type="dxa"/>
              <w:end w:w="120" w:type="dxa"/>
            </w:tcMar>
          </w:tcPr>
          <w:p>
            <w:pPr>
              <w:spacing w:after="0" w:line="247" w:lineRule="auto"/>
            </w:pPr>
            <w:r>
              <w:rPr>
                <w:color w:val="163342"/>
                <w:sz w:val="15"/>
              </w:rPr>
              <w:t>Yes</w:t>
            </w:r>
          </w:p>
        </w:tc>
        <w:tc>
          <w:tcPr>
            <w:tcW w:type="dxa" w:w="1600"/>
            <w:vAlign w:val="center"/>
            <w:tcMar>
              <w:top w:w="100" w:type="dxa"/>
              <w:start w:w="120" w:type="dxa"/>
              <w:bottom w:w="100" w:type="dxa"/>
              <w:end w:w="120" w:type="dxa"/>
            </w:tcMar>
          </w:tcPr>
          <w:p>
            <w:pPr>
              <w:spacing w:after="0" w:line="247" w:lineRule="auto"/>
            </w:pPr>
            <w:r>
              <w:rPr>
                <w:color w:val="163342"/>
                <w:sz w:val="15"/>
              </w:rPr>
              <w:t>Yes</w:t>
            </w:r>
          </w:p>
        </w:tc>
        <w:tc>
          <w:tcPr>
            <w:tcW w:type="dxa" w:w="1250"/>
            <w:vAlign w:val="center"/>
            <w:tcMar>
              <w:top w:w="100" w:type="dxa"/>
              <w:start w:w="120" w:type="dxa"/>
              <w:bottom w:w="100" w:type="dxa"/>
              <w:end w:w="120" w:type="dxa"/>
            </w:tcMar>
          </w:tcPr>
          <w:p>
            <w:pPr>
              <w:spacing w:after="0" w:line="247" w:lineRule="auto"/>
            </w:pPr>
            <w:r>
              <w:rPr>
                <w:color w:val="163342"/>
                <w:sz w:val="15"/>
              </w:rPr>
              <w:t>If granted</w:t>
            </w:r>
          </w:p>
        </w:tc>
        <w:tc>
          <w:tcPr>
            <w:tcW w:type="dxa" w:w="1200"/>
            <w:vAlign w:val="center"/>
            <w:tcMar>
              <w:top w:w="100" w:type="dxa"/>
              <w:start w:w="120" w:type="dxa"/>
              <w:bottom w:w="100" w:type="dxa"/>
              <w:end w:w="120" w:type="dxa"/>
            </w:tcMar>
          </w:tcPr>
          <w:p>
            <w:pPr>
              <w:spacing w:after="0" w:line="247" w:lineRule="auto"/>
            </w:pPr>
            <w:r>
              <w:rPr>
                <w:color w:val="163342"/>
                <w:sz w:val="15"/>
              </w:rPr>
              <w:t>If granted</w:t>
            </w:r>
          </w:p>
        </w:tc>
        <w:tc>
          <w:tcPr>
            <w:tcW w:type="dxa" w:w="1560"/>
            <w:vAlign w:val="center"/>
            <w:tcMar>
              <w:top w:w="100" w:type="dxa"/>
              <w:start w:w="120" w:type="dxa"/>
              <w:bottom w:w="100" w:type="dxa"/>
              <w:end w:w="120" w:type="dxa"/>
            </w:tcMar>
          </w:tcPr>
          <w:p>
            <w:pPr>
              <w:spacing w:after="0" w:line="247" w:lineRule="auto"/>
            </w:pPr>
            <w:r>
              <w:rPr>
                <w:color w:val="163342"/>
                <w:sz w:val="15"/>
              </w:rPr>
              <w:t>Never</w:t>
            </w:r>
          </w:p>
        </w:tc>
      </w:tr>
      <w:tr>
        <w:tc>
          <w:tcPr>
            <w:tcW w:type="dxa" w:w="2350"/>
            <w:vAlign w:val="center"/>
            <w:tcMar>
              <w:top w:w="100" w:type="dxa"/>
              <w:start w:w="120" w:type="dxa"/>
              <w:bottom w:w="100" w:type="dxa"/>
              <w:end w:w="120" w:type="dxa"/>
            </w:tcMar>
          </w:tcPr>
          <w:p>
            <w:pPr>
              <w:spacing w:after="0" w:line="247" w:lineRule="auto"/>
            </w:pPr>
            <w:r>
              <w:rPr>
                <w:color w:val="163342"/>
                <w:sz w:val="15"/>
              </w:rPr>
              <w:t>View another Agency client</w:t>
            </w:r>
          </w:p>
        </w:tc>
        <w:tc>
          <w:tcPr>
            <w:tcW w:type="dxa" w:w="1400"/>
            <w:vAlign w:val="center"/>
            <w:tcMar>
              <w:top w:w="100" w:type="dxa"/>
              <w:start w:w="120" w:type="dxa"/>
              <w:bottom w:w="100" w:type="dxa"/>
              <w:end w:w="120" w:type="dxa"/>
            </w:tcMar>
          </w:tcPr>
          <w:p>
            <w:pPr>
              <w:spacing w:after="0" w:line="247" w:lineRule="auto"/>
            </w:pPr>
            <w:r>
              <w:rPr>
                <w:color w:val="163342"/>
                <w:sz w:val="15"/>
              </w:rPr>
              <w:t>Authorized staff only</w:t>
            </w:r>
          </w:p>
        </w:tc>
        <w:tc>
          <w:tcPr>
            <w:tcW w:type="dxa" w:w="1600"/>
            <w:vAlign w:val="center"/>
            <w:tcMar>
              <w:top w:w="100" w:type="dxa"/>
              <w:start w:w="120" w:type="dxa"/>
              <w:bottom w:w="100" w:type="dxa"/>
              <w:end w:w="120" w:type="dxa"/>
            </w:tcMar>
          </w:tcPr>
          <w:p>
            <w:pPr>
              <w:spacing w:after="0" w:line="247" w:lineRule="auto"/>
            </w:pPr>
            <w:r>
              <w:rPr>
                <w:color w:val="163342"/>
                <w:sz w:val="15"/>
              </w:rPr>
              <w:t>Authorized staff only</w:t>
            </w:r>
          </w:p>
        </w:tc>
        <w:tc>
          <w:tcPr>
            <w:tcW w:type="dxa" w:w="1250"/>
            <w:vAlign w:val="center"/>
            <w:tcMar>
              <w:top w:w="100" w:type="dxa"/>
              <w:start w:w="120" w:type="dxa"/>
              <w:bottom w:w="100" w:type="dxa"/>
              <w:end w:w="120" w:type="dxa"/>
            </w:tcMar>
          </w:tcPr>
          <w:p>
            <w:pPr>
              <w:spacing w:after="0" w:line="247" w:lineRule="auto"/>
            </w:pPr>
            <w:r>
              <w:rPr>
                <w:color w:val="163342"/>
                <w:sz w:val="15"/>
              </w:rPr>
              <w:t>Assigned only</w:t>
            </w:r>
          </w:p>
        </w:tc>
        <w:tc>
          <w:tcPr>
            <w:tcW w:type="dxa" w:w="1200"/>
            <w:vAlign w:val="center"/>
            <w:tcMar>
              <w:top w:w="100" w:type="dxa"/>
              <w:start w:w="120" w:type="dxa"/>
              <w:bottom w:w="100" w:type="dxa"/>
              <w:end w:w="120" w:type="dxa"/>
            </w:tcMar>
          </w:tcPr>
          <w:p>
            <w:pPr>
              <w:spacing w:after="0" w:line="247" w:lineRule="auto"/>
            </w:pPr>
            <w:r>
              <w:rPr>
                <w:color w:val="163342"/>
                <w:sz w:val="15"/>
              </w:rPr>
              <w:t>Assigned only</w:t>
            </w:r>
          </w:p>
        </w:tc>
        <w:tc>
          <w:tcPr>
            <w:tcW w:type="dxa" w:w="1560"/>
            <w:vAlign w:val="center"/>
            <w:tcMar>
              <w:top w:w="100" w:type="dxa"/>
              <w:start w:w="120" w:type="dxa"/>
              <w:bottom w:w="100" w:type="dxa"/>
              <w:end w:w="120" w:type="dxa"/>
            </w:tcMar>
          </w:tcPr>
          <w:p>
            <w:pPr>
              <w:spacing w:after="0" w:line="247" w:lineRule="auto"/>
            </w:pPr>
            <w:r>
              <w:rPr>
                <w:color w:val="163342"/>
                <w:sz w:val="15"/>
              </w:rPr>
              <w:t>Never</w:t>
            </w:r>
          </w:p>
        </w:tc>
      </w:tr>
    </w:tbl>
    <w:p>
      <w:pPr>
        <w:spacing w:after="20"/>
      </w:pPr>
    </w:p>
    <w:p>
      <w:pPr>
        <w:pStyle w:val="Heading2"/>
        <w:keepNext/>
      </w:pPr>
      <w:r>
        <w:t>4.3 Authorization rules</w:t>
      </w:r>
    </w:p>
    <w:p>
      <w:pPr>
        <w:pStyle w:val="ListBullet"/>
      </w:pPr>
      <w:r>
        <w:t>Every request carries workspace_id, project_id and client_id when the project belongs to an Agency client.</w:t>
      </w:r>
    </w:p>
    <w:p>
      <w:pPr>
        <w:pStyle w:val="ListBullet"/>
      </w:pPr>
      <w:r>
        <w:t>Authorization is enforced in the API, query, report composer, AI context builder, PDF renderer and object storage lookup. UI hiding is not authorization.</w:t>
      </w:r>
    </w:p>
    <w:p>
      <w:pPr>
        <w:pStyle w:val="ListBullet"/>
      </w:pPr>
      <w:r>
        <w:t>A Client Viewer token is always bound to one or more explicit client assignments. It cannot request a portfolio view.</w:t>
      </w:r>
    </w:p>
    <w:p>
      <w:pPr>
        <w:pStyle w:val="ListBullet"/>
      </w:pPr>
      <w:r>
        <w:t>Cross-client access returns the same non-enumerating denial used for a nonexistent object. Do not reveal whether another client or report exists.</w:t>
      </w:r>
    </w:p>
    <w:p>
      <w:pPr>
        <w:pStyle w:val="ListBullet"/>
      </w:pPr>
      <w:r>
        <w:t>A role or entitlement change is checked again when a queued generation or export job starts, not only when it is requested.</w:t>
      </w:r>
    </w:p>
    <w:p>
      <w:pPr>
        <w:pStyle w:val="ListBullet"/>
      </w:pPr>
      <w:r>
        <w:t>Read-only workspaces may view existing reports and permitted fresh read models, but cannot start a new capacity-bearing narrative generation unless commercial policy explicitly allows it.</w:t>
      </w:r>
    </w:p>
    <w:p>
      <w:pPr>
        <w:pStyle w:val="Heading2"/>
        <w:keepNext/>
      </w:pPr>
      <w:r>
        <w:t>4.4 Internal and client-visible fields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500"/>
        <w:gridCol w:w="3400"/>
        <w:gridCol w:w="3460"/>
      </w:tblGrid>
      <w:tr>
        <w:trPr>
          <w:tblHeader w:val="true"/>
        </w:trPr>
        <w:tc>
          <w:tcPr>
            <w:tcW w:type="dxa" w:w="2500"/>
            <w:shd w:fill="EAF2F8"/>
            <w:vAlign w:val="center"/>
            <w:tcMar>
              <w:top w:w="100" w:type="dxa"/>
              <w:start w:w="120" w:type="dxa"/>
              <w:bottom w:w="100" w:type="dxa"/>
              <w:end w:w="120" w:type="dxa"/>
            </w:tcMar>
          </w:tcPr>
          <w:p>
            <w:r>
              <w:rPr>
                <w:b/>
                <w:color w:val="10243E"/>
                <w:sz w:val="17"/>
              </w:rPr>
              <w:t>Field class</w:t>
            </w:r>
          </w:p>
        </w:tc>
        <w:tc>
          <w:tcPr>
            <w:tcW w:type="dxa" w:w="3400"/>
            <w:shd w:fill="EAF2F8"/>
            <w:vAlign w:val="center"/>
            <w:tcMar>
              <w:top w:w="100" w:type="dxa"/>
              <w:start w:w="120" w:type="dxa"/>
              <w:bottom w:w="100" w:type="dxa"/>
              <w:end w:w="120" w:type="dxa"/>
            </w:tcMar>
          </w:tcPr>
          <w:p>
            <w:r>
              <w:rPr>
                <w:b/>
                <w:color w:val="10243E"/>
                <w:sz w:val="17"/>
              </w:rPr>
              <w:t>Internal Agency view</w:t>
            </w:r>
          </w:p>
        </w:tc>
        <w:tc>
          <w:tcPr>
            <w:tcW w:type="dxa" w:w="3460"/>
            <w:shd w:fill="EAF2F8"/>
            <w:vAlign w:val="center"/>
            <w:tcMar>
              <w:top w:w="100" w:type="dxa"/>
              <w:start w:w="120" w:type="dxa"/>
              <w:bottom w:w="100" w:type="dxa"/>
              <w:end w:w="120" w:type="dxa"/>
            </w:tcMar>
          </w:tcPr>
          <w:p>
            <w:r>
              <w:rPr>
                <w:b/>
                <w:color w:val="10243E"/>
                <w:sz w:val="17"/>
              </w:rPr>
              <w:t>Client-visible report</w:t>
            </w:r>
          </w:p>
        </w:tc>
      </w:tr>
      <w:tr>
        <w:tc>
          <w:tcPr>
            <w:tcW w:type="dxa" w:w="2500"/>
            <w:vAlign w:val="center"/>
            <w:tcMar>
              <w:top w:w="100" w:type="dxa"/>
              <w:start w:w="120" w:type="dxa"/>
              <w:bottom w:w="100" w:type="dxa"/>
              <w:end w:w="120" w:type="dxa"/>
            </w:tcMar>
          </w:tcPr>
          <w:p>
            <w:pPr>
              <w:spacing w:after="0" w:line="247" w:lineRule="auto"/>
            </w:pPr>
            <w:r>
              <w:rPr>
                <w:color w:val="163342"/>
                <w:sz w:val="17"/>
              </w:rPr>
              <w:t>Verified results and completed work</w:t>
            </w:r>
          </w:p>
        </w:tc>
        <w:tc>
          <w:tcPr>
            <w:tcW w:type="dxa" w:w="3400"/>
            <w:vAlign w:val="center"/>
            <w:tcMar>
              <w:top w:w="100" w:type="dxa"/>
              <w:start w:w="120" w:type="dxa"/>
              <w:bottom w:w="100" w:type="dxa"/>
              <w:end w:w="120" w:type="dxa"/>
            </w:tcMar>
          </w:tcPr>
          <w:p>
            <w:pPr>
              <w:spacing w:after="0" w:line="247" w:lineRule="auto"/>
            </w:pPr>
            <w:r>
              <w:rPr>
                <w:color w:val="163342"/>
                <w:sz w:val="17"/>
              </w:rPr>
              <w:t>Included</w:t>
            </w:r>
          </w:p>
        </w:tc>
        <w:tc>
          <w:tcPr>
            <w:tcW w:type="dxa" w:w="3460"/>
            <w:vAlign w:val="center"/>
            <w:tcMar>
              <w:top w:w="100" w:type="dxa"/>
              <w:start w:w="120" w:type="dxa"/>
              <w:bottom w:w="100" w:type="dxa"/>
              <w:end w:w="120" w:type="dxa"/>
            </w:tcMar>
          </w:tcPr>
          <w:p>
            <w:pPr>
              <w:spacing w:after="0" w:line="247" w:lineRule="auto"/>
            </w:pPr>
            <w:r>
              <w:rPr>
                <w:color w:val="163342"/>
                <w:sz w:val="17"/>
              </w:rPr>
              <w:t>Included</w:t>
            </w:r>
          </w:p>
        </w:tc>
      </w:tr>
      <w:tr>
        <w:tc>
          <w:tcPr>
            <w:tcW w:type="dxa" w:w="2500"/>
            <w:vAlign w:val="center"/>
            <w:tcMar>
              <w:top w:w="100" w:type="dxa"/>
              <w:start w:w="120" w:type="dxa"/>
              <w:bottom w:w="100" w:type="dxa"/>
              <w:end w:w="120" w:type="dxa"/>
            </w:tcMar>
          </w:tcPr>
          <w:p>
            <w:pPr>
              <w:spacing w:after="0" w:line="247" w:lineRule="auto"/>
            </w:pPr>
            <w:r>
              <w:rPr>
                <w:color w:val="163342"/>
                <w:sz w:val="17"/>
              </w:rPr>
              <w:t>Evidence limitations</w:t>
            </w:r>
          </w:p>
        </w:tc>
        <w:tc>
          <w:tcPr>
            <w:tcW w:type="dxa" w:w="3400"/>
            <w:vAlign w:val="center"/>
            <w:tcMar>
              <w:top w:w="100" w:type="dxa"/>
              <w:start w:w="120" w:type="dxa"/>
              <w:bottom w:w="100" w:type="dxa"/>
              <w:end w:w="120" w:type="dxa"/>
            </w:tcMar>
          </w:tcPr>
          <w:p>
            <w:pPr>
              <w:spacing w:after="0" w:line="247" w:lineRule="auto"/>
            </w:pPr>
            <w:r>
              <w:rPr>
                <w:color w:val="163342"/>
                <w:sz w:val="17"/>
              </w:rPr>
              <w:t>Included</w:t>
            </w:r>
          </w:p>
        </w:tc>
        <w:tc>
          <w:tcPr>
            <w:tcW w:type="dxa" w:w="3460"/>
            <w:vAlign w:val="center"/>
            <w:tcMar>
              <w:top w:w="100" w:type="dxa"/>
              <w:start w:w="120" w:type="dxa"/>
              <w:bottom w:w="100" w:type="dxa"/>
              <w:end w:w="120" w:type="dxa"/>
            </w:tcMar>
          </w:tcPr>
          <w:p>
            <w:pPr>
              <w:spacing w:after="0" w:line="247" w:lineRule="auto"/>
            </w:pPr>
            <w:r>
              <w:rPr>
                <w:color w:val="163342"/>
                <w:sz w:val="17"/>
              </w:rPr>
              <w:t>Included in plain language</w:t>
            </w:r>
          </w:p>
        </w:tc>
      </w:tr>
      <w:tr>
        <w:tc>
          <w:tcPr>
            <w:tcW w:type="dxa" w:w="2500"/>
            <w:vAlign w:val="center"/>
            <w:tcMar>
              <w:top w:w="100" w:type="dxa"/>
              <w:start w:w="120" w:type="dxa"/>
              <w:bottom w:w="100" w:type="dxa"/>
              <w:end w:w="120" w:type="dxa"/>
            </w:tcMar>
          </w:tcPr>
          <w:p>
            <w:pPr>
              <w:spacing w:after="0" w:line="247" w:lineRule="auto"/>
            </w:pPr>
            <w:r>
              <w:rPr>
                <w:color w:val="163342"/>
                <w:sz w:val="17"/>
              </w:rPr>
              <w:t>Next Best Action</w:t>
            </w:r>
          </w:p>
        </w:tc>
        <w:tc>
          <w:tcPr>
            <w:tcW w:type="dxa" w:w="3400"/>
            <w:vAlign w:val="center"/>
            <w:tcMar>
              <w:top w:w="100" w:type="dxa"/>
              <w:start w:w="120" w:type="dxa"/>
              <w:bottom w:w="100" w:type="dxa"/>
              <w:end w:w="120" w:type="dxa"/>
            </w:tcMar>
          </w:tcPr>
          <w:p>
            <w:pPr>
              <w:spacing w:after="0" w:line="247" w:lineRule="auto"/>
            </w:pPr>
            <w:r>
              <w:rPr>
                <w:color w:val="163342"/>
                <w:sz w:val="17"/>
              </w:rPr>
              <w:t>Included</w:t>
            </w:r>
          </w:p>
        </w:tc>
        <w:tc>
          <w:tcPr>
            <w:tcW w:type="dxa" w:w="3460"/>
            <w:vAlign w:val="center"/>
            <w:tcMar>
              <w:top w:w="100" w:type="dxa"/>
              <w:start w:w="120" w:type="dxa"/>
              <w:bottom w:w="100" w:type="dxa"/>
              <w:end w:w="120" w:type="dxa"/>
            </w:tcMar>
          </w:tcPr>
          <w:p>
            <w:pPr>
              <w:spacing w:after="0" w:line="247" w:lineRule="auto"/>
            </w:pPr>
            <w:r>
              <w:rPr>
                <w:color w:val="163342"/>
                <w:sz w:val="17"/>
              </w:rPr>
              <w:t>Included when authorized for client view</w:t>
            </w:r>
          </w:p>
        </w:tc>
      </w:tr>
      <w:tr>
        <w:tc>
          <w:tcPr>
            <w:tcW w:type="dxa" w:w="2500"/>
            <w:vAlign w:val="center"/>
            <w:tcMar>
              <w:top w:w="100" w:type="dxa"/>
              <w:start w:w="120" w:type="dxa"/>
              <w:bottom w:w="100" w:type="dxa"/>
              <w:end w:w="120" w:type="dxa"/>
            </w:tcMar>
          </w:tcPr>
          <w:p>
            <w:pPr>
              <w:spacing w:after="0" w:line="247" w:lineRule="auto"/>
            </w:pPr>
            <w:r>
              <w:rPr>
                <w:color w:val="163342"/>
                <w:sz w:val="17"/>
              </w:rPr>
              <w:t>Internal note or staff assignment</w:t>
            </w:r>
          </w:p>
        </w:tc>
        <w:tc>
          <w:tcPr>
            <w:tcW w:type="dxa" w:w="3400"/>
            <w:vAlign w:val="center"/>
            <w:tcMar>
              <w:top w:w="100" w:type="dxa"/>
              <w:start w:w="120" w:type="dxa"/>
              <w:bottom w:w="100" w:type="dxa"/>
              <w:end w:w="120" w:type="dxa"/>
            </w:tcMar>
          </w:tcPr>
          <w:p>
            <w:pPr>
              <w:spacing w:after="0" w:line="247" w:lineRule="auto"/>
            </w:pPr>
            <w:r>
              <w:rPr>
                <w:color w:val="163342"/>
                <w:sz w:val="17"/>
              </w:rPr>
              <w:t>Included for authorized staff</w:t>
            </w:r>
          </w:p>
        </w:tc>
        <w:tc>
          <w:tcPr>
            <w:tcW w:type="dxa" w:w="3460"/>
            <w:vAlign w:val="center"/>
            <w:tcMar>
              <w:top w:w="100" w:type="dxa"/>
              <w:start w:w="120" w:type="dxa"/>
              <w:bottom w:w="100" w:type="dxa"/>
              <w:end w:w="120" w:type="dxa"/>
            </w:tcMar>
          </w:tcPr>
          <w:p>
            <w:pPr>
              <w:spacing w:after="0" w:line="247" w:lineRule="auto"/>
            </w:pPr>
            <w:r>
              <w:rPr>
                <w:color w:val="163342"/>
                <w:sz w:val="17"/>
              </w:rPr>
              <w:t>Excluded</w:t>
            </w:r>
          </w:p>
        </w:tc>
      </w:tr>
      <w:tr>
        <w:tc>
          <w:tcPr>
            <w:tcW w:type="dxa" w:w="2500"/>
            <w:vAlign w:val="center"/>
            <w:tcMar>
              <w:top w:w="100" w:type="dxa"/>
              <w:start w:w="120" w:type="dxa"/>
              <w:bottom w:w="100" w:type="dxa"/>
              <w:end w:w="120" w:type="dxa"/>
            </w:tcMar>
          </w:tcPr>
          <w:p>
            <w:pPr>
              <w:spacing w:after="0" w:line="247" w:lineRule="auto"/>
            </w:pPr>
            <w:r>
              <w:rPr>
                <w:color w:val="163342"/>
                <w:sz w:val="17"/>
              </w:rPr>
              <w:t>Internal cost, margin or capacity cost</w:t>
            </w:r>
          </w:p>
        </w:tc>
        <w:tc>
          <w:tcPr>
            <w:tcW w:type="dxa" w:w="3400"/>
            <w:vAlign w:val="center"/>
            <w:tcMar>
              <w:top w:w="100" w:type="dxa"/>
              <w:start w:w="120" w:type="dxa"/>
              <w:bottom w:w="100" w:type="dxa"/>
              <w:end w:w="120" w:type="dxa"/>
            </w:tcMar>
          </w:tcPr>
          <w:p>
            <w:pPr>
              <w:spacing w:after="0" w:line="247" w:lineRule="auto"/>
            </w:pPr>
            <w:r>
              <w:rPr>
                <w:color w:val="163342"/>
                <w:sz w:val="17"/>
              </w:rPr>
              <w:t>Excluded unless a separate internal feature requires it</w:t>
            </w:r>
          </w:p>
        </w:tc>
        <w:tc>
          <w:tcPr>
            <w:tcW w:type="dxa" w:w="3460"/>
            <w:vAlign w:val="center"/>
            <w:tcMar>
              <w:top w:w="100" w:type="dxa"/>
              <w:start w:w="120" w:type="dxa"/>
              <w:bottom w:w="100" w:type="dxa"/>
              <w:end w:w="120" w:type="dxa"/>
            </w:tcMar>
          </w:tcPr>
          <w:p>
            <w:pPr>
              <w:spacing w:after="0" w:line="247" w:lineRule="auto"/>
            </w:pPr>
            <w:r>
              <w:rPr>
                <w:color w:val="163342"/>
                <w:sz w:val="17"/>
              </w:rPr>
              <w:t>Never</w:t>
            </w:r>
          </w:p>
        </w:tc>
      </w:tr>
      <w:tr>
        <w:tc>
          <w:tcPr>
            <w:tcW w:type="dxa" w:w="2500"/>
            <w:vAlign w:val="center"/>
            <w:tcMar>
              <w:top w:w="100" w:type="dxa"/>
              <w:start w:w="120" w:type="dxa"/>
              <w:bottom w:w="100" w:type="dxa"/>
              <w:end w:w="120" w:type="dxa"/>
            </w:tcMar>
          </w:tcPr>
          <w:p>
            <w:pPr>
              <w:spacing w:after="0" w:line="247" w:lineRule="auto"/>
            </w:pPr>
            <w:r>
              <w:rPr>
                <w:color w:val="163342"/>
                <w:sz w:val="17"/>
              </w:rPr>
              <w:t>Other clients or portfolio rank</w:t>
            </w:r>
          </w:p>
        </w:tc>
        <w:tc>
          <w:tcPr>
            <w:tcW w:type="dxa" w:w="3400"/>
            <w:vAlign w:val="center"/>
            <w:tcMar>
              <w:top w:w="100" w:type="dxa"/>
              <w:start w:w="120" w:type="dxa"/>
              <w:bottom w:w="100" w:type="dxa"/>
              <w:end w:w="120" w:type="dxa"/>
            </w:tcMar>
          </w:tcPr>
          <w:p>
            <w:pPr>
              <w:spacing w:after="0" w:line="247" w:lineRule="auto"/>
            </w:pPr>
            <w:r>
              <w:rPr>
                <w:color w:val="163342"/>
                <w:sz w:val="17"/>
              </w:rPr>
              <w:t>Included only in portfolio operations</w:t>
            </w:r>
          </w:p>
        </w:tc>
        <w:tc>
          <w:tcPr>
            <w:tcW w:type="dxa" w:w="3460"/>
            <w:vAlign w:val="center"/>
            <w:tcMar>
              <w:top w:w="100" w:type="dxa"/>
              <w:start w:w="120" w:type="dxa"/>
              <w:bottom w:w="100" w:type="dxa"/>
              <w:end w:w="120" w:type="dxa"/>
            </w:tcMar>
          </w:tcPr>
          <w:p>
            <w:pPr>
              <w:spacing w:after="0" w:line="247" w:lineRule="auto"/>
            </w:pPr>
            <w:r>
              <w:rPr>
                <w:color w:val="163342"/>
                <w:sz w:val="17"/>
              </w:rPr>
              <w:t>Never</w:t>
            </w:r>
          </w:p>
        </w:tc>
      </w:tr>
      <w:tr>
        <w:tc>
          <w:tcPr>
            <w:tcW w:type="dxa" w:w="2500"/>
            <w:vAlign w:val="center"/>
            <w:tcMar>
              <w:top w:w="100" w:type="dxa"/>
              <w:start w:w="120" w:type="dxa"/>
              <w:bottom w:w="100" w:type="dxa"/>
              <w:end w:w="120" w:type="dxa"/>
            </w:tcMar>
          </w:tcPr>
          <w:p>
            <w:pPr>
              <w:spacing w:after="0" w:line="247" w:lineRule="auto"/>
            </w:pPr>
            <w:r>
              <w:rPr>
                <w:color w:val="163342"/>
                <w:sz w:val="17"/>
              </w:rPr>
              <w:t>Credentials, raw form values, unrestricted recordings</w:t>
            </w:r>
          </w:p>
        </w:tc>
        <w:tc>
          <w:tcPr>
            <w:tcW w:type="dxa" w:w="3400"/>
            <w:vAlign w:val="center"/>
            <w:tcMar>
              <w:top w:w="100" w:type="dxa"/>
              <w:start w:w="120" w:type="dxa"/>
              <w:bottom w:w="100" w:type="dxa"/>
              <w:end w:w="120" w:type="dxa"/>
            </w:tcMar>
          </w:tcPr>
          <w:p>
            <w:pPr>
              <w:spacing w:after="0" w:line="247" w:lineRule="auto"/>
            </w:pPr>
            <w:r>
              <w:rPr>
                <w:color w:val="163342"/>
                <w:sz w:val="17"/>
              </w:rPr>
              <w:t>Never</w:t>
            </w:r>
          </w:p>
        </w:tc>
        <w:tc>
          <w:tcPr>
            <w:tcW w:type="dxa" w:w="3460"/>
            <w:vAlign w:val="center"/>
            <w:tcMar>
              <w:top w:w="100" w:type="dxa"/>
              <w:start w:w="120" w:type="dxa"/>
              <w:bottom w:w="100" w:type="dxa"/>
              <w:end w:w="120" w:type="dxa"/>
            </w:tcMar>
          </w:tcPr>
          <w:p>
            <w:pPr>
              <w:spacing w:after="0" w:line="247" w:lineRule="auto"/>
            </w:pPr>
            <w:r>
              <w:rPr>
                <w:color w:val="163342"/>
                <w:sz w:val="17"/>
              </w:rPr>
              <w:t>Never</w:t>
            </w:r>
          </w:p>
        </w:tc>
      </w:tr>
    </w:tbl>
    <w:p>
      <w:pPr>
        <w:spacing w:after="20"/>
      </w:pPr>
    </w:p>
    <w:p>
      <w:pPr>
        <w:pStyle w:val="Heading1"/>
        <w:keepNext/>
      </w:pPr>
      <w:r>
        <w:t>5. Reporting Surfaces and Navigation</w:t>
      </w:r>
    </w:p>
    <w:p>
      <w:r>
        <w:t>V1 has four surfaces. All four read the same authoritative records. The difference is scope and presentation, not business logic.</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200"/>
        <w:gridCol w:w="2700"/>
        <w:gridCol w:w="4460"/>
      </w:tblGrid>
      <w:tr>
        <w:trPr>
          <w:tblHeader w:val="true"/>
        </w:trPr>
        <w:tc>
          <w:tcPr>
            <w:tcW w:type="dxa" w:w="2200"/>
            <w:shd w:fill="EAF2F8"/>
            <w:vAlign w:val="center"/>
            <w:tcMar>
              <w:top w:w="100" w:type="dxa"/>
              <w:start w:w="120" w:type="dxa"/>
              <w:bottom w:w="100" w:type="dxa"/>
              <w:end w:w="120" w:type="dxa"/>
            </w:tcMar>
          </w:tcPr>
          <w:p>
            <w:r>
              <w:rPr>
                <w:b/>
                <w:color w:val="10243E"/>
                <w:sz w:val="18"/>
              </w:rPr>
              <w:t>Surface</w:t>
            </w:r>
          </w:p>
        </w:tc>
        <w:tc>
          <w:tcPr>
            <w:tcW w:type="dxa" w:w="2700"/>
            <w:shd w:fill="EAF2F8"/>
            <w:vAlign w:val="center"/>
            <w:tcMar>
              <w:top w:w="100" w:type="dxa"/>
              <w:start w:w="120" w:type="dxa"/>
              <w:bottom w:w="100" w:type="dxa"/>
              <w:end w:w="120" w:type="dxa"/>
            </w:tcMar>
          </w:tcPr>
          <w:p>
            <w:r>
              <w:rPr>
                <w:b/>
                <w:color w:val="10243E"/>
                <w:sz w:val="18"/>
              </w:rPr>
              <w:t>Primary user</w:t>
            </w:r>
          </w:p>
        </w:tc>
        <w:tc>
          <w:tcPr>
            <w:tcW w:type="dxa" w:w="4460"/>
            <w:shd w:fill="EAF2F8"/>
            <w:vAlign w:val="center"/>
            <w:tcMar>
              <w:top w:w="100" w:type="dxa"/>
              <w:start w:w="120" w:type="dxa"/>
              <w:bottom w:w="100" w:type="dxa"/>
              <w:end w:w="120" w:type="dxa"/>
            </w:tcMar>
          </w:tcPr>
          <w:p>
            <w:r>
              <w:rPr>
                <w:b/>
                <w:color w:val="10243E"/>
                <w:sz w:val="18"/>
              </w:rPr>
              <w:t>Purpose</w:t>
            </w:r>
          </w:p>
        </w:tc>
      </w:tr>
      <w:tr>
        <w:tc>
          <w:tcPr>
            <w:tcW w:type="dxa" w:w="2200"/>
            <w:vAlign w:val="center"/>
            <w:tcMar>
              <w:top w:w="100" w:type="dxa"/>
              <w:start w:w="120" w:type="dxa"/>
              <w:bottom w:w="100" w:type="dxa"/>
              <w:end w:w="120" w:type="dxa"/>
            </w:tcMar>
          </w:tcPr>
          <w:p>
            <w:pPr>
              <w:spacing w:after="0" w:line="247" w:lineRule="auto"/>
            </w:pPr>
            <w:r>
              <w:rPr>
                <w:color w:val="163342"/>
                <w:sz w:val="18"/>
              </w:rPr>
              <w:t>Growth Summary</w:t>
            </w:r>
          </w:p>
        </w:tc>
        <w:tc>
          <w:tcPr>
            <w:tcW w:type="dxa" w:w="2700"/>
            <w:vAlign w:val="center"/>
            <w:tcMar>
              <w:top w:w="100" w:type="dxa"/>
              <w:start w:w="120" w:type="dxa"/>
              <w:bottom w:w="100" w:type="dxa"/>
              <w:end w:w="120" w:type="dxa"/>
            </w:tcMar>
          </w:tcPr>
          <w:p>
            <w:pPr>
              <w:spacing w:after="0" w:line="247" w:lineRule="auto"/>
            </w:pPr>
            <w:r>
              <w:rPr>
                <w:color w:val="163342"/>
                <w:sz w:val="18"/>
              </w:rPr>
              <w:t>Single-business and Business users</w:t>
            </w:r>
          </w:p>
        </w:tc>
        <w:tc>
          <w:tcPr>
            <w:tcW w:type="dxa" w:w="4460"/>
            <w:vAlign w:val="center"/>
            <w:tcMar>
              <w:top w:w="100" w:type="dxa"/>
              <w:start w:w="120" w:type="dxa"/>
              <w:bottom w:w="100" w:type="dxa"/>
              <w:end w:w="120" w:type="dxa"/>
            </w:tcMar>
          </w:tcPr>
          <w:p>
            <w:pPr>
              <w:spacing w:after="0" w:line="247" w:lineRule="auto"/>
            </w:pPr>
            <w:r>
              <w:rPr>
                <w:color w:val="163342"/>
                <w:sz w:val="18"/>
              </w:rPr>
              <w:t>Show current status, recent work, key results and the Next Best Action.</w:t>
            </w:r>
          </w:p>
        </w:tc>
      </w:tr>
      <w:tr>
        <w:tc>
          <w:tcPr>
            <w:tcW w:type="dxa" w:w="2200"/>
            <w:vAlign w:val="center"/>
            <w:tcMar>
              <w:top w:w="100" w:type="dxa"/>
              <w:start w:w="120" w:type="dxa"/>
              <w:bottom w:w="100" w:type="dxa"/>
              <w:end w:w="120" w:type="dxa"/>
            </w:tcMar>
          </w:tcPr>
          <w:p>
            <w:pPr>
              <w:spacing w:after="0" w:line="247" w:lineRule="auto"/>
            </w:pPr>
            <w:r>
              <w:rPr>
                <w:color w:val="163342"/>
                <w:sz w:val="18"/>
              </w:rPr>
              <w:t>Standard Growth Report</w:t>
            </w:r>
          </w:p>
        </w:tc>
        <w:tc>
          <w:tcPr>
            <w:tcW w:type="dxa" w:w="2700"/>
            <w:vAlign w:val="center"/>
            <w:tcMar>
              <w:top w:w="100" w:type="dxa"/>
              <w:start w:w="120" w:type="dxa"/>
              <w:bottom w:w="100" w:type="dxa"/>
              <w:end w:w="120" w:type="dxa"/>
            </w:tcMar>
          </w:tcPr>
          <w:p>
            <w:pPr>
              <w:spacing w:after="0" w:line="247" w:lineRule="auto"/>
            </w:pPr>
            <w:r>
              <w:rPr>
                <w:color w:val="163342"/>
                <w:sz w:val="18"/>
              </w:rPr>
              <w:t>All authorized users</w:t>
            </w:r>
          </w:p>
        </w:tc>
        <w:tc>
          <w:tcPr>
            <w:tcW w:type="dxa" w:w="4460"/>
            <w:vAlign w:val="center"/>
            <w:tcMar>
              <w:top w:w="100" w:type="dxa"/>
              <w:start w:w="120" w:type="dxa"/>
              <w:bottom w:w="100" w:type="dxa"/>
              <w:end w:w="120" w:type="dxa"/>
            </w:tcMar>
          </w:tcPr>
          <w:p>
            <w:pPr>
              <w:spacing w:after="0" w:line="247" w:lineRule="auto"/>
            </w:pPr>
            <w:r>
              <w:rPr>
                <w:color w:val="163342"/>
                <w:sz w:val="18"/>
              </w:rPr>
              <w:t>Explain a selected reporting period and create an official snapshot.</w:t>
            </w:r>
          </w:p>
        </w:tc>
      </w:tr>
      <w:tr>
        <w:tc>
          <w:tcPr>
            <w:tcW w:type="dxa" w:w="2200"/>
            <w:vAlign w:val="center"/>
            <w:tcMar>
              <w:top w:w="100" w:type="dxa"/>
              <w:start w:w="120" w:type="dxa"/>
              <w:bottom w:w="100" w:type="dxa"/>
              <w:end w:w="120" w:type="dxa"/>
            </w:tcMar>
          </w:tcPr>
          <w:p>
            <w:pPr>
              <w:spacing w:after="0" w:line="247" w:lineRule="auto"/>
            </w:pPr>
            <w:r>
              <w:rPr>
                <w:color w:val="163342"/>
                <w:sz w:val="18"/>
              </w:rPr>
              <w:t>Agency Portfolio</w:t>
            </w:r>
          </w:p>
        </w:tc>
        <w:tc>
          <w:tcPr>
            <w:tcW w:type="dxa" w:w="2700"/>
            <w:vAlign w:val="center"/>
            <w:tcMar>
              <w:top w:w="100" w:type="dxa"/>
              <w:start w:w="120" w:type="dxa"/>
              <w:bottom w:w="100" w:type="dxa"/>
              <w:end w:w="120" w:type="dxa"/>
            </w:tcMar>
          </w:tcPr>
          <w:p>
            <w:pPr>
              <w:spacing w:after="0" w:line="247" w:lineRule="auto"/>
            </w:pPr>
            <w:r>
              <w:rPr>
                <w:color w:val="163342"/>
                <w:sz w:val="18"/>
              </w:rPr>
              <w:t>Agency staff only</w:t>
            </w:r>
          </w:p>
        </w:tc>
        <w:tc>
          <w:tcPr>
            <w:tcW w:type="dxa" w:w="4460"/>
            <w:vAlign w:val="center"/>
            <w:tcMar>
              <w:top w:w="100" w:type="dxa"/>
              <w:start w:w="120" w:type="dxa"/>
              <w:bottom w:w="100" w:type="dxa"/>
              <w:end w:w="120" w:type="dxa"/>
            </w:tcMar>
          </w:tcPr>
          <w:p>
            <w:pPr>
              <w:spacing w:after="0" w:line="247" w:lineRule="auto"/>
            </w:pPr>
            <w:r>
              <w:rPr>
                <w:color w:val="163342"/>
                <w:sz w:val="18"/>
              </w:rPr>
              <w:t>Show which clients are improving, stable or need attention.</w:t>
            </w:r>
          </w:p>
        </w:tc>
      </w:tr>
      <w:tr>
        <w:tc>
          <w:tcPr>
            <w:tcW w:type="dxa" w:w="2200"/>
            <w:vAlign w:val="center"/>
            <w:tcMar>
              <w:top w:w="100" w:type="dxa"/>
              <w:start w:w="120" w:type="dxa"/>
              <w:bottom w:w="100" w:type="dxa"/>
              <w:end w:w="120" w:type="dxa"/>
            </w:tcMar>
          </w:tcPr>
          <w:p>
            <w:pPr>
              <w:spacing w:after="0" w:line="247" w:lineRule="auto"/>
            </w:pPr>
            <w:r>
              <w:rPr>
                <w:color w:val="163342"/>
                <w:sz w:val="18"/>
              </w:rPr>
              <w:t>Client Report View</w:t>
            </w:r>
          </w:p>
        </w:tc>
        <w:tc>
          <w:tcPr>
            <w:tcW w:type="dxa" w:w="2700"/>
            <w:vAlign w:val="center"/>
            <w:tcMar>
              <w:top w:w="100" w:type="dxa"/>
              <w:start w:w="120" w:type="dxa"/>
              <w:bottom w:w="100" w:type="dxa"/>
              <w:end w:w="120" w:type="dxa"/>
            </w:tcMar>
          </w:tcPr>
          <w:p>
            <w:pPr>
              <w:spacing w:after="0" w:line="247" w:lineRule="auto"/>
            </w:pPr>
            <w:r>
              <w:rPr>
                <w:color w:val="163342"/>
                <w:sz w:val="18"/>
              </w:rPr>
              <w:t>Agency staff and assigned Client Viewer</w:t>
            </w:r>
          </w:p>
        </w:tc>
        <w:tc>
          <w:tcPr>
            <w:tcW w:type="dxa" w:w="4460"/>
            <w:vAlign w:val="center"/>
            <w:tcMar>
              <w:top w:w="100" w:type="dxa"/>
              <w:start w:w="120" w:type="dxa"/>
              <w:bottom w:w="100" w:type="dxa"/>
              <w:end w:w="120" w:type="dxa"/>
            </w:tcMar>
          </w:tcPr>
          <w:p>
            <w:pPr>
              <w:spacing w:after="0" w:line="247" w:lineRule="auto"/>
            </w:pPr>
            <w:r>
              <w:rPr>
                <w:color w:val="163342"/>
                <w:sz w:val="18"/>
              </w:rPr>
              <w:t>Present one client-safe Standard Growth Report with Agency branding.</w:t>
            </w:r>
          </w:p>
        </w:tc>
      </w:tr>
    </w:tbl>
    <w:p>
      <w:pPr>
        <w:spacing w:after="20"/>
      </w:pPr>
    </w:p>
    <w:p>
      <w:pPr>
        <w:pStyle w:val="Heading2"/>
        <w:keepNext/>
      </w:pPr>
      <w:r>
        <w:t>5.1 Main navigation</w:t>
      </w:r>
    </w:p>
    <w:p>
      <w:pPr>
        <w:pStyle w:val="ListBullet"/>
      </w:pPr>
      <w:r>
        <w:t>Single-business/Business: Growth Engine &gt; Reports.</w:t>
      </w:r>
    </w:p>
    <w:p>
      <w:pPr>
        <w:pStyle w:val="ListBullet"/>
      </w:pPr>
      <w:r>
        <w:t>Agency: Agency &gt; Portfolio for the operational overview; Client &gt; Reports for the client report.</w:t>
      </w:r>
    </w:p>
    <w:p>
      <w:pPr>
        <w:pStyle w:val="ListBullet"/>
      </w:pPr>
      <w:r>
        <w:t>A report link always opens a specific report_id and revision. Do not silently redirect an old link to the latest revision.</w:t>
      </w:r>
    </w:p>
    <w:p>
      <w:pPr>
        <w:pStyle w:val="ListBullet"/>
      </w:pPr>
      <w:r>
        <w:t>The current/latest report is clearly labelled. Prior revisions remain accessible to authorized users through a simple History control.</w:t>
      </w:r>
    </w:p>
    <w:p>
      <w:pPr>
        <w:pStyle w:val="Heading2"/>
        <w:keepNext/>
      </w:pPr>
      <w:r>
        <w:t>5.2 Growth Summary screen</w:t>
      </w:r>
    </w:p>
    <w:p>
      <w:r>
        <w:t>The Growth Summary is a live read model, not an official historical report. It should load quickly and show the latest trustworthy state. It contains these fixed blocks in this order:</w:t>
      </w:r>
    </w:p>
    <w:p>
      <w:pPr>
        <w:pStyle w:val="ListNumber"/>
      </w:pPr>
      <w:r>
        <w:t>Overall growth status: Improving, Stable, Attention Needed, Collecting Data or Data Limited.</w:t>
      </w:r>
    </w:p>
    <w:p>
      <w:pPr>
        <w:pStyle w:val="ListNumber"/>
      </w:pPr>
      <w:r>
        <w:t>Three to five important metrics selected from the active Strategy and Measurement Plans.</w:t>
      </w:r>
    </w:p>
    <w:p>
      <w:pPr>
        <w:pStyle w:val="ListNumber"/>
      </w:pPr>
      <w:r>
        <w:t>Recently completed verified work.</w:t>
      </w:r>
    </w:p>
    <w:p>
      <w:pPr>
        <w:pStyle w:val="ListNumber"/>
      </w:pPr>
      <w:r>
        <w:t>One to three material wins or problems.</w:t>
      </w:r>
    </w:p>
    <w:p>
      <w:pPr>
        <w:pStyle w:val="ListNumber"/>
      </w:pPr>
      <w:r>
        <w:t>The one current Next Best Action, its reason, expected impact, confidence and approval requirement.</w:t>
      </w:r>
    </w:p>
    <w:p>
      <w:pPr>
        <w:pStyle w:val="ListNumber"/>
      </w:pPr>
      <w:r>
        <w:t>Last updated time and any source/data-quality warning.</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Do not overload the summary  </w:t>
      </w:r>
      <w:r>
        <w:t>No more than five primary metric cards and three findings appear by default. Detailed module evidence is behind View Details.</w:t>
      </w:r>
    </w:p>
    <w:p>
      <w:pPr>
        <w:pStyle w:val="Heading2"/>
        <w:keepNext/>
      </w:pPr>
      <w:r>
        <w:t>5.3 Report creation screen</w:t>
      </w:r>
    </w:p>
    <w:p>
      <w:r>
        <w:t>The Generate Report screen contains only the decisions required to create a valid scope:</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300"/>
        <w:gridCol w:w="7060"/>
      </w:tblGrid>
      <w:tr>
        <w:trPr>
          <w:tblHeader w:val="true"/>
        </w:trPr>
        <w:tc>
          <w:tcPr>
            <w:tcW w:type="dxa" w:w="2300"/>
            <w:shd w:fill="EAF2F8"/>
            <w:vAlign w:val="center"/>
            <w:tcMar>
              <w:top w:w="100" w:type="dxa"/>
              <w:start w:w="120" w:type="dxa"/>
              <w:bottom w:w="100" w:type="dxa"/>
              <w:end w:w="120" w:type="dxa"/>
            </w:tcMar>
          </w:tcPr>
          <w:p>
            <w:r>
              <w:rPr>
                <w:b/>
                <w:color w:val="10243E"/>
                <w:sz w:val="18"/>
              </w:rPr>
              <w:t>Field</w:t>
            </w:r>
          </w:p>
        </w:tc>
        <w:tc>
          <w:tcPr>
            <w:tcW w:type="dxa" w:w="7060"/>
            <w:shd w:fill="EAF2F8"/>
            <w:vAlign w:val="center"/>
            <w:tcMar>
              <w:top w:w="100" w:type="dxa"/>
              <w:start w:w="120" w:type="dxa"/>
              <w:bottom w:w="100" w:type="dxa"/>
              <w:end w:w="120" w:type="dxa"/>
            </w:tcMar>
          </w:tcPr>
          <w:p>
            <w:r>
              <w:rPr>
                <w:b/>
                <w:color w:val="10243E"/>
                <w:sz w:val="18"/>
              </w:rPr>
              <w:t>Behavior</w:t>
            </w:r>
          </w:p>
        </w:tc>
      </w:tr>
      <w:tr>
        <w:tc>
          <w:tcPr>
            <w:tcW w:type="dxa" w:w="2300"/>
            <w:vAlign w:val="center"/>
            <w:tcMar>
              <w:top w:w="100" w:type="dxa"/>
              <w:start w:w="120" w:type="dxa"/>
              <w:bottom w:w="100" w:type="dxa"/>
              <w:end w:w="120" w:type="dxa"/>
            </w:tcMar>
          </w:tcPr>
          <w:p>
            <w:pPr>
              <w:spacing w:after="0" w:line="247" w:lineRule="auto"/>
            </w:pPr>
            <w:r>
              <w:rPr>
                <w:color w:val="163342"/>
                <w:sz w:val="18"/>
              </w:rPr>
              <w:t>Business/client</w:t>
            </w:r>
          </w:p>
        </w:tc>
        <w:tc>
          <w:tcPr>
            <w:tcW w:type="dxa" w:w="7060"/>
            <w:vAlign w:val="center"/>
            <w:tcMar>
              <w:top w:w="100" w:type="dxa"/>
              <w:start w:w="120" w:type="dxa"/>
              <w:bottom w:w="100" w:type="dxa"/>
              <w:end w:w="120" w:type="dxa"/>
            </w:tcMar>
          </w:tcPr>
          <w:p>
            <w:pPr>
              <w:spacing w:after="0" w:line="247" w:lineRule="auto"/>
            </w:pPr>
            <w:r>
              <w:rPr>
                <w:color w:val="163342"/>
                <w:sz w:val="18"/>
              </w:rPr>
              <w:t>Fixed from current context; Agency staff may choose one authorized client.</w:t>
            </w:r>
          </w:p>
        </w:tc>
      </w:tr>
      <w:tr>
        <w:tc>
          <w:tcPr>
            <w:tcW w:type="dxa" w:w="2300"/>
            <w:vAlign w:val="center"/>
            <w:tcMar>
              <w:top w:w="100" w:type="dxa"/>
              <w:start w:w="120" w:type="dxa"/>
              <w:bottom w:w="100" w:type="dxa"/>
              <w:end w:w="120" w:type="dxa"/>
            </w:tcMar>
          </w:tcPr>
          <w:p>
            <w:pPr>
              <w:spacing w:after="0" w:line="247" w:lineRule="auto"/>
            </w:pPr>
            <w:r>
              <w:rPr>
                <w:color w:val="163342"/>
                <w:sz w:val="18"/>
              </w:rPr>
              <w:t>Reporting period</w:t>
            </w:r>
          </w:p>
        </w:tc>
        <w:tc>
          <w:tcPr>
            <w:tcW w:type="dxa" w:w="7060"/>
            <w:vAlign w:val="center"/>
            <w:tcMar>
              <w:top w:w="100" w:type="dxa"/>
              <w:start w:w="120" w:type="dxa"/>
              <w:bottom w:w="100" w:type="dxa"/>
              <w:end w:w="120" w:type="dxa"/>
            </w:tcMar>
          </w:tcPr>
          <w:p>
            <w:pPr>
              <w:spacing w:after="0" w:line="247" w:lineRule="auto"/>
            </w:pPr>
            <w:r>
              <w:rPr>
                <w:color w:val="163342"/>
                <w:sz w:val="18"/>
              </w:rPr>
              <w:t>Default: previous calendar month. Also allow current month, last 30 days and custom dates within retention limits.</w:t>
            </w:r>
          </w:p>
        </w:tc>
      </w:tr>
      <w:tr>
        <w:tc>
          <w:tcPr>
            <w:tcW w:type="dxa" w:w="2300"/>
            <w:vAlign w:val="center"/>
            <w:tcMar>
              <w:top w:w="100" w:type="dxa"/>
              <w:start w:w="120" w:type="dxa"/>
              <w:bottom w:w="100" w:type="dxa"/>
              <w:end w:w="120" w:type="dxa"/>
            </w:tcMar>
          </w:tcPr>
          <w:p>
            <w:pPr>
              <w:spacing w:after="0" w:line="247" w:lineRule="auto"/>
            </w:pPr>
            <w:r>
              <w:rPr>
                <w:color w:val="163342"/>
                <w:sz w:val="18"/>
              </w:rPr>
              <w:t>Include comparison</w:t>
            </w:r>
          </w:p>
        </w:tc>
        <w:tc>
          <w:tcPr>
            <w:tcW w:type="dxa" w:w="7060"/>
            <w:vAlign w:val="center"/>
            <w:tcMar>
              <w:top w:w="100" w:type="dxa"/>
              <w:start w:w="120" w:type="dxa"/>
              <w:bottom w:w="100" w:type="dxa"/>
              <w:end w:w="120" w:type="dxa"/>
            </w:tcMar>
          </w:tcPr>
          <w:p>
            <w:pPr>
              <w:spacing w:after="0" w:line="247" w:lineRule="auto"/>
            </w:pPr>
            <w:r>
              <w:rPr>
                <w:color w:val="163342"/>
                <w:sz w:val="18"/>
              </w:rPr>
              <w:t>Default: immediately preceding compatible period when a valid comparison exists.</w:t>
            </w:r>
          </w:p>
        </w:tc>
      </w:tr>
      <w:tr>
        <w:tc>
          <w:tcPr>
            <w:tcW w:type="dxa" w:w="2300"/>
            <w:vAlign w:val="center"/>
            <w:tcMar>
              <w:top w:w="100" w:type="dxa"/>
              <w:start w:w="120" w:type="dxa"/>
              <w:bottom w:w="100" w:type="dxa"/>
              <w:end w:w="120" w:type="dxa"/>
            </w:tcMar>
          </w:tcPr>
          <w:p>
            <w:pPr>
              <w:spacing w:after="0" w:line="247" w:lineRule="auto"/>
            </w:pPr>
            <w:r>
              <w:rPr>
                <w:color w:val="163342"/>
                <w:sz w:val="18"/>
              </w:rPr>
              <w:t>Report title</w:t>
            </w:r>
          </w:p>
        </w:tc>
        <w:tc>
          <w:tcPr>
            <w:tcW w:type="dxa" w:w="7060"/>
            <w:vAlign w:val="center"/>
            <w:tcMar>
              <w:top w:w="100" w:type="dxa"/>
              <w:start w:w="120" w:type="dxa"/>
              <w:bottom w:w="100" w:type="dxa"/>
              <w:end w:w="120" w:type="dxa"/>
            </w:tcMar>
          </w:tcPr>
          <w:p>
            <w:pPr>
              <w:spacing w:after="0" w:line="247" w:lineRule="auto"/>
            </w:pPr>
            <w:r>
              <w:rPr>
                <w:color w:val="163342"/>
                <w:sz w:val="18"/>
              </w:rPr>
              <w:t>System-generated; optional short edit before finalization.</w:t>
            </w:r>
          </w:p>
        </w:tc>
      </w:tr>
      <w:tr>
        <w:tc>
          <w:tcPr>
            <w:tcW w:type="dxa" w:w="2300"/>
            <w:vAlign w:val="center"/>
            <w:tcMar>
              <w:top w:w="100" w:type="dxa"/>
              <w:start w:w="120" w:type="dxa"/>
              <w:bottom w:w="100" w:type="dxa"/>
              <w:end w:w="120" w:type="dxa"/>
            </w:tcMar>
          </w:tcPr>
          <w:p>
            <w:pPr>
              <w:spacing w:after="0" w:line="247" w:lineRule="auto"/>
            </w:pPr>
            <w:r>
              <w:rPr>
                <w:color w:val="163342"/>
                <w:sz w:val="18"/>
              </w:rPr>
              <w:t>Agency review</w:t>
            </w:r>
          </w:p>
        </w:tc>
        <w:tc>
          <w:tcPr>
            <w:tcW w:type="dxa" w:w="7060"/>
            <w:vAlign w:val="center"/>
            <w:tcMar>
              <w:top w:w="100" w:type="dxa"/>
              <w:start w:w="120" w:type="dxa"/>
              <w:bottom w:w="100" w:type="dxa"/>
              <w:end w:w="120" w:type="dxa"/>
            </w:tcMar>
          </w:tcPr>
          <w:p>
            <w:pPr>
              <w:spacing w:after="0" w:line="247" w:lineRule="auto"/>
            </w:pPr>
            <w:r>
              <w:rPr>
                <w:color w:val="163342"/>
                <w:sz w:val="18"/>
              </w:rPr>
              <w:t>Required for client-visible Agency report; not shown to non-Agency users.</w:t>
            </w:r>
          </w:p>
        </w:tc>
      </w:tr>
      <w:tr>
        <w:tc>
          <w:tcPr>
            <w:tcW w:type="dxa" w:w="2300"/>
            <w:vAlign w:val="center"/>
            <w:tcMar>
              <w:top w:w="100" w:type="dxa"/>
              <w:start w:w="120" w:type="dxa"/>
              <w:bottom w:w="100" w:type="dxa"/>
              <w:end w:w="120" w:type="dxa"/>
            </w:tcMar>
          </w:tcPr>
          <w:p>
            <w:pPr>
              <w:spacing w:after="0" w:line="247" w:lineRule="auto"/>
            </w:pPr>
            <w:r>
              <w:rPr>
                <w:color w:val="163342"/>
                <w:sz w:val="18"/>
              </w:rPr>
              <w:t>Generate</w:t>
            </w:r>
          </w:p>
        </w:tc>
        <w:tc>
          <w:tcPr>
            <w:tcW w:type="dxa" w:w="7060"/>
            <w:vAlign w:val="center"/>
            <w:tcMar>
              <w:top w:w="100" w:type="dxa"/>
              <w:start w:w="120" w:type="dxa"/>
              <w:bottom w:w="100" w:type="dxa"/>
              <w:end w:w="120" w:type="dxa"/>
            </w:tcMar>
          </w:tcPr>
          <w:p>
            <w:pPr>
              <w:spacing w:after="0" w:line="247" w:lineRule="auto"/>
            </w:pPr>
            <w:r>
              <w:rPr>
                <w:color w:val="163342"/>
                <w:sz w:val="18"/>
              </w:rPr>
              <w:t>Starts an idempotent background operation and returns operation_id.</w:t>
            </w:r>
          </w:p>
        </w:tc>
      </w:tr>
    </w:tbl>
    <w:p>
      <w:pPr>
        <w:spacing w:after="20"/>
      </w:pPr>
    </w:p>
    <w:p>
      <w:pPr>
        <w:pStyle w:val="Heading2"/>
        <w:keepNext/>
      </w:pPr>
      <w:r>
        <w:t>5.4 Advanced detail behavior</w:t>
      </w:r>
    </w:p>
    <w:p>
      <w:r>
        <w:t>View Details may deep-link to Growth Engine Overview, Diagnosis, Funnel, Experiments, Tracker, execution history or a module-specific screen. The main report does not duplicate those interfaces. A deep link preserves the report period and scope when possible.</w:t>
      </w:r>
    </w:p>
    <w:p>
      <w:pPr>
        <w:pStyle w:val="Heading1"/>
        <w:keepNext/>
      </w:pPr>
      <w:r>
        <w:t>6. Standard Growth Report Contract</w:t>
      </w:r>
    </w:p>
    <w:p>
      <w:r>
        <w:t>Every official Growth Report uses the same ordered sections. Sections may display Not Applicable or Insufficient Data, but developers must not silently remove a required limitation or critical guardrail.</w:t>
      </w:r>
    </w:p>
    <w:p>
      <w:pPr>
        <w:pStyle w:val="Heading2"/>
        <w:keepNext/>
      </w:pPr>
      <w:r>
        <w:t>6.1 Fixed section order</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520"/>
        <w:gridCol w:w="1850"/>
        <w:gridCol w:w="6990"/>
      </w:tblGrid>
      <w:tr>
        <w:trPr>
          <w:tblHeader w:val="true"/>
        </w:trPr>
        <w:tc>
          <w:tcPr>
            <w:tcW w:type="dxa" w:w="520"/>
            <w:shd w:fill="EAF2F8"/>
            <w:vAlign w:val="center"/>
            <w:tcMar>
              <w:top w:w="100" w:type="dxa"/>
              <w:start w:w="120" w:type="dxa"/>
              <w:bottom w:w="100" w:type="dxa"/>
              <w:end w:w="120" w:type="dxa"/>
            </w:tcMar>
          </w:tcPr>
          <w:p>
            <w:r>
              <w:rPr>
                <w:b/>
                <w:color w:val="10243E"/>
                <w:sz w:val="17"/>
              </w:rPr>
              <w:t>#</w:t>
            </w:r>
          </w:p>
        </w:tc>
        <w:tc>
          <w:tcPr>
            <w:tcW w:type="dxa" w:w="1850"/>
            <w:shd w:fill="EAF2F8"/>
            <w:vAlign w:val="center"/>
            <w:tcMar>
              <w:top w:w="100" w:type="dxa"/>
              <w:start w:w="120" w:type="dxa"/>
              <w:bottom w:w="100" w:type="dxa"/>
              <w:end w:w="120" w:type="dxa"/>
            </w:tcMar>
          </w:tcPr>
          <w:p>
            <w:r>
              <w:rPr>
                <w:b/>
                <w:color w:val="10243E"/>
                <w:sz w:val="17"/>
              </w:rPr>
              <w:t>Section</w:t>
            </w:r>
          </w:p>
        </w:tc>
        <w:tc>
          <w:tcPr>
            <w:tcW w:type="dxa" w:w="6990"/>
            <w:shd w:fill="EAF2F8"/>
            <w:vAlign w:val="center"/>
            <w:tcMar>
              <w:top w:w="100" w:type="dxa"/>
              <w:start w:w="120" w:type="dxa"/>
              <w:bottom w:w="100" w:type="dxa"/>
              <w:end w:w="120" w:type="dxa"/>
            </w:tcMar>
          </w:tcPr>
          <w:p>
            <w:r>
              <w:rPr>
                <w:b/>
                <w:color w:val="10243E"/>
                <w:sz w:val="17"/>
              </w:rPr>
              <w:t>Required contents</w:t>
            </w:r>
          </w:p>
        </w:tc>
      </w:tr>
      <w:tr>
        <w:tc>
          <w:tcPr>
            <w:tcW w:type="dxa" w:w="520"/>
            <w:vAlign w:val="center"/>
            <w:tcMar>
              <w:top w:w="100" w:type="dxa"/>
              <w:start w:w="120" w:type="dxa"/>
              <w:bottom w:w="100" w:type="dxa"/>
              <w:end w:w="120" w:type="dxa"/>
            </w:tcMar>
          </w:tcPr>
          <w:p>
            <w:pPr>
              <w:spacing w:after="0" w:line="247" w:lineRule="auto"/>
            </w:pPr>
            <w:r>
              <w:rPr>
                <w:color w:val="163342"/>
                <w:sz w:val="17"/>
              </w:rPr>
              <w:t>1</w:t>
            </w:r>
          </w:p>
        </w:tc>
        <w:tc>
          <w:tcPr>
            <w:tcW w:type="dxa" w:w="1850"/>
            <w:vAlign w:val="center"/>
            <w:tcMar>
              <w:top w:w="100" w:type="dxa"/>
              <w:start w:w="120" w:type="dxa"/>
              <w:bottom w:w="100" w:type="dxa"/>
              <w:end w:w="120" w:type="dxa"/>
            </w:tcMar>
          </w:tcPr>
          <w:p>
            <w:pPr>
              <w:spacing w:after="0" w:line="247" w:lineRule="auto"/>
            </w:pPr>
            <w:r>
              <w:rPr>
                <w:color w:val="163342"/>
                <w:sz w:val="17"/>
              </w:rPr>
              <w:t>Growth Summary</w:t>
            </w:r>
          </w:p>
        </w:tc>
        <w:tc>
          <w:tcPr>
            <w:tcW w:type="dxa" w:w="6990"/>
            <w:vAlign w:val="center"/>
            <w:tcMar>
              <w:top w:w="100" w:type="dxa"/>
              <w:start w:w="120" w:type="dxa"/>
              <w:bottom w:w="100" w:type="dxa"/>
              <w:end w:w="120" w:type="dxa"/>
            </w:tcMar>
          </w:tcPr>
          <w:p>
            <w:pPr>
              <w:spacing w:after="0" w:line="247" w:lineRule="auto"/>
            </w:pPr>
            <w:r>
              <w:rPr>
                <w:color w:val="163342"/>
                <w:sz w:val="17"/>
              </w:rPr>
              <w:t>Three to six plain-language sentences covering the main outcome, important work, limitation and direction.</w:t>
            </w:r>
          </w:p>
        </w:tc>
      </w:tr>
      <w:tr>
        <w:tc>
          <w:tcPr>
            <w:tcW w:type="dxa" w:w="520"/>
            <w:vAlign w:val="center"/>
            <w:tcMar>
              <w:top w:w="100" w:type="dxa"/>
              <w:start w:w="120" w:type="dxa"/>
              <w:bottom w:w="100" w:type="dxa"/>
              <w:end w:w="120" w:type="dxa"/>
            </w:tcMar>
          </w:tcPr>
          <w:p>
            <w:pPr>
              <w:spacing w:after="0" w:line="247" w:lineRule="auto"/>
            </w:pPr>
            <w:r>
              <w:rPr>
                <w:color w:val="163342"/>
                <w:sz w:val="17"/>
              </w:rPr>
              <w:t>2</w:t>
            </w:r>
          </w:p>
        </w:tc>
        <w:tc>
          <w:tcPr>
            <w:tcW w:type="dxa" w:w="1850"/>
            <w:vAlign w:val="center"/>
            <w:tcMar>
              <w:top w:w="100" w:type="dxa"/>
              <w:start w:w="120" w:type="dxa"/>
              <w:bottom w:w="100" w:type="dxa"/>
              <w:end w:w="120" w:type="dxa"/>
            </w:tcMar>
          </w:tcPr>
          <w:p>
            <w:pPr>
              <w:spacing w:after="0" w:line="247" w:lineRule="auto"/>
            </w:pPr>
            <w:r>
              <w:rPr>
                <w:color w:val="163342"/>
                <w:sz w:val="17"/>
              </w:rPr>
              <w:t>Work Completed</w:t>
            </w:r>
          </w:p>
        </w:tc>
        <w:tc>
          <w:tcPr>
            <w:tcW w:type="dxa" w:w="6990"/>
            <w:vAlign w:val="center"/>
            <w:tcMar>
              <w:top w:w="100" w:type="dxa"/>
              <w:start w:w="120" w:type="dxa"/>
              <w:bottom w:w="100" w:type="dxa"/>
              <w:end w:w="120" w:type="dxa"/>
            </w:tcMar>
          </w:tcPr>
          <w:p>
            <w:pPr>
              <w:spacing w:after="0" w:line="247" w:lineRule="auto"/>
            </w:pPr>
            <w:r>
              <w:rPr>
                <w:color w:val="163342"/>
                <w:sz w:val="17"/>
              </w:rPr>
              <w:t>Verified executions active or completed in the period, grouped without duplicate event noise.</w:t>
            </w:r>
          </w:p>
        </w:tc>
      </w:tr>
      <w:tr>
        <w:tc>
          <w:tcPr>
            <w:tcW w:type="dxa" w:w="520"/>
            <w:vAlign w:val="center"/>
            <w:tcMar>
              <w:top w:w="100" w:type="dxa"/>
              <w:start w:w="120" w:type="dxa"/>
              <w:bottom w:w="100" w:type="dxa"/>
              <w:end w:w="120" w:type="dxa"/>
            </w:tcMar>
          </w:tcPr>
          <w:p>
            <w:pPr>
              <w:spacing w:after="0" w:line="247" w:lineRule="auto"/>
            </w:pPr>
            <w:r>
              <w:rPr>
                <w:color w:val="163342"/>
                <w:sz w:val="17"/>
              </w:rPr>
              <w:t>3</w:t>
            </w:r>
          </w:p>
        </w:tc>
        <w:tc>
          <w:tcPr>
            <w:tcW w:type="dxa" w:w="1850"/>
            <w:vAlign w:val="center"/>
            <w:tcMar>
              <w:top w:w="100" w:type="dxa"/>
              <w:start w:w="120" w:type="dxa"/>
              <w:bottom w:w="100" w:type="dxa"/>
              <w:end w:w="120" w:type="dxa"/>
            </w:tcMar>
          </w:tcPr>
          <w:p>
            <w:pPr>
              <w:spacing w:after="0" w:line="247" w:lineRule="auto"/>
            </w:pPr>
            <w:r>
              <w:rPr>
                <w:color w:val="163342"/>
                <w:sz w:val="17"/>
              </w:rPr>
              <w:t>Important Results</w:t>
            </w:r>
          </w:p>
        </w:tc>
        <w:tc>
          <w:tcPr>
            <w:tcW w:type="dxa" w:w="6990"/>
            <w:vAlign w:val="center"/>
            <w:tcMar>
              <w:top w:w="100" w:type="dxa"/>
              <w:start w:w="120" w:type="dxa"/>
              <w:bottom w:w="100" w:type="dxa"/>
              <w:end w:w="120" w:type="dxa"/>
            </w:tcMar>
          </w:tcPr>
          <w:p>
            <w:pPr>
              <w:spacing w:after="0" w:line="247" w:lineRule="auto"/>
            </w:pPr>
            <w:r>
              <w:rPr>
                <w:color w:val="163342"/>
                <w:sz w:val="17"/>
              </w:rPr>
              <w:t>Three to five strategy-linked primary metrics with comparison, status and freshness.</w:t>
            </w:r>
          </w:p>
        </w:tc>
      </w:tr>
      <w:tr>
        <w:tc>
          <w:tcPr>
            <w:tcW w:type="dxa" w:w="520"/>
            <w:vAlign w:val="center"/>
            <w:tcMar>
              <w:top w:w="100" w:type="dxa"/>
              <w:start w:w="120" w:type="dxa"/>
              <w:bottom w:w="100" w:type="dxa"/>
              <w:end w:w="120" w:type="dxa"/>
            </w:tcMar>
          </w:tcPr>
          <w:p>
            <w:pPr>
              <w:spacing w:after="0" w:line="247" w:lineRule="auto"/>
            </w:pPr>
            <w:r>
              <w:rPr>
                <w:color w:val="163342"/>
                <w:sz w:val="17"/>
              </w:rPr>
              <w:t>4</w:t>
            </w:r>
          </w:p>
        </w:tc>
        <w:tc>
          <w:tcPr>
            <w:tcW w:type="dxa" w:w="1850"/>
            <w:vAlign w:val="center"/>
            <w:tcMar>
              <w:top w:w="100" w:type="dxa"/>
              <w:start w:w="120" w:type="dxa"/>
              <w:bottom w:w="100" w:type="dxa"/>
              <w:end w:w="120" w:type="dxa"/>
            </w:tcMar>
          </w:tcPr>
          <w:p>
            <w:pPr>
              <w:spacing w:after="0" w:line="247" w:lineRule="auto"/>
            </w:pPr>
            <w:r>
              <w:rPr>
                <w:color w:val="163342"/>
                <w:sz w:val="17"/>
              </w:rPr>
              <w:t>What Improved</w:t>
            </w:r>
          </w:p>
        </w:tc>
        <w:tc>
          <w:tcPr>
            <w:tcW w:type="dxa" w:w="6990"/>
            <w:vAlign w:val="center"/>
            <w:tcMar>
              <w:top w:w="100" w:type="dxa"/>
              <w:start w:w="120" w:type="dxa"/>
              <w:bottom w:w="100" w:type="dxa"/>
              <w:end w:w="120" w:type="dxa"/>
            </w:tcMar>
          </w:tcPr>
          <w:p>
            <w:pPr>
              <w:spacing w:after="0" w:line="247" w:lineRule="auto"/>
            </w:pPr>
            <w:r>
              <w:rPr>
                <w:color w:val="163342"/>
                <w:sz w:val="17"/>
              </w:rPr>
              <w:t>Up to three supported wins; omit when no supported win exists and state that plainly.</w:t>
            </w:r>
          </w:p>
        </w:tc>
      </w:tr>
      <w:tr>
        <w:tc>
          <w:tcPr>
            <w:tcW w:type="dxa" w:w="520"/>
            <w:vAlign w:val="center"/>
            <w:tcMar>
              <w:top w:w="100" w:type="dxa"/>
              <w:start w:w="120" w:type="dxa"/>
              <w:bottom w:w="100" w:type="dxa"/>
              <w:end w:w="120" w:type="dxa"/>
            </w:tcMar>
          </w:tcPr>
          <w:p>
            <w:pPr>
              <w:spacing w:after="0" w:line="247" w:lineRule="auto"/>
            </w:pPr>
            <w:r>
              <w:rPr>
                <w:color w:val="163342"/>
                <w:sz w:val="17"/>
              </w:rPr>
              <w:t>5</w:t>
            </w:r>
          </w:p>
        </w:tc>
        <w:tc>
          <w:tcPr>
            <w:tcW w:type="dxa" w:w="1850"/>
            <w:vAlign w:val="center"/>
            <w:tcMar>
              <w:top w:w="100" w:type="dxa"/>
              <w:start w:w="120" w:type="dxa"/>
              <w:bottom w:w="100" w:type="dxa"/>
              <w:end w:w="120" w:type="dxa"/>
            </w:tcMar>
          </w:tcPr>
          <w:p>
            <w:pPr>
              <w:spacing w:after="0" w:line="247" w:lineRule="auto"/>
            </w:pPr>
            <w:r>
              <w:rPr>
                <w:color w:val="163342"/>
                <w:sz w:val="17"/>
              </w:rPr>
              <w:t>Problems or Opportunities</w:t>
            </w:r>
          </w:p>
        </w:tc>
        <w:tc>
          <w:tcPr>
            <w:tcW w:type="dxa" w:w="6990"/>
            <w:vAlign w:val="center"/>
            <w:tcMar>
              <w:top w:w="100" w:type="dxa"/>
              <w:start w:w="120" w:type="dxa"/>
              <w:bottom w:w="100" w:type="dxa"/>
              <w:end w:w="120" w:type="dxa"/>
            </w:tcMar>
          </w:tcPr>
          <w:p>
            <w:pPr>
              <w:spacing w:after="0" w:line="247" w:lineRule="auto"/>
            </w:pPr>
            <w:r>
              <w:rPr>
                <w:color w:val="163342"/>
                <w:sz w:val="17"/>
              </w:rPr>
              <w:t>Up to three material findings requiring attention; include limitations.</w:t>
            </w:r>
          </w:p>
        </w:tc>
      </w:tr>
      <w:tr>
        <w:tc>
          <w:tcPr>
            <w:tcW w:type="dxa" w:w="520"/>
            <w:vAlign w:val="center"/>
            <w:tcMar>
              <w:top w:w="100" w:type="dxa"/>
              <w:start w:w="120" w:type="dxa"/>
              <w:bottom w:w="100" w:type="dxa"/>
              <w:end w:w="120" w:type="dxa"/>
            </w:tcMar>
          </w:tcPr>
          <w:p>
            <w:pPr>
              <w:spacing w:after="0" w:line="247" w:lineRule="auto"/>
            </w:pPr>
            <w:r>
              <w:rPr>
                <w:color w:val="163342"/>
                <w:sz w:val="17"/>
              </w:rPr>
              <w:t>6</w:t>
            </w:r>
          </w:p>
        </w:tc>
        <w:tc>
          <w:tcPr>
            <w:tcW w:type="dxa" w:w="1850"/>
            <w:vAlign w:val="center"/>
            <w:tcMar>
              <w:top w:w="100" w:type="dxa"/>
              <w:start w:w="120" w:type="dxa"/>
              <w:bottom w:w="100" w:type="dxa"/>
              <w:end w:w="120" w:type="dxa"/>
            </w:tcMar>
          </w:tcPr>
          <w:p>
            <w:pPr>
              <w:spacing w:after="0" w:line="247" w:lineRule="auto"/>
            </w:pPr>
            <w:r>
              <w:rPr>
                <w:color w:val="163342"/>
                <w:sz w:val="17"/>
              </w:rPr>
              <w:t>Next Best Action</w:t>
            </w:r>
          </w:p>
        </w:tc>
        <w:tc>
          <w:tcPr>
            <w:tcW w:type="dxa" w:w="6990"/>
            <w:vAlign w:val="center"/>
            <w:tcMar>
              <w:top w:w="100" w:type="dxa"/>
              <w:start w:w="120" w:type="dxa"/>
              <w:bottom w:w="100" w:type="dxa"/>
              <w:end w:w="120" w:type="dxa"/>
            </w:tcMar>
          </w:tcPr>
          <w:p>
            <w:pPr>
              <w:spacing w:after="0" w:line="247" w:lineRule="auto"/>
            </w:pPr>
            <w:r>
              <w:rPr>
                <w:color w:val="163342"/>
                <w:sz w:val="17"/>
              </w:rPr>
              <w:t>Exactly one authoritative action, reason, expected impact, confidence and approval path.</w:t>
            </w:r>
          </w:p>
        </w:tc>
      </w:tr>
      <w:tr>
        <w:tc>
          <w:tcPr>
            <w:tcW w:type="dxa" w:w="520"/>
            <w:vAlign w:val="center"/>
            <w:tcMar>
              <w:top w:w="100" w:type="dxa"/>
              <w:start w:w="120" w:type="dxa"/>
              <w:bottom w:w="100" w:type="dxa"/>
              <w:end w:w="120" w:type="dxa"/>
            </w:tcMar>
          </w:tcPr>
          <w:p>
            <w:pPr>
              <w:spacing w:after="0" w:line="247" w:lineRule="auto"/>
            </w:pPr>
            <w:r>
              <w:rPr>
                <w:color w:val="163342"/>
                <w:sz w:val="17"/>
              </w:rPr>
              <w:t>7</w:t>
            </w:r>
          </w:p>
        </w:tc>
        <w:tc>
          <w:tcPr>
            <w:tcW w:type="dxa" w:w="1850"/>
            <w:vAlign w:val="center"/>
            <w:tcMar>
              <w:top w:w="100" w:type="dxa"/>
              <w:start w:w="120" w:type="dxa"/>
              <w:bottom w:w="100" w:type="dxa"/>
              <w:end w:w="120" w:type="dxa"/>
            </w:tcMar>
          </w:tcPr>
          <w:p>
            <w:pPr>
              <w:spacing w:after="0" w:line="247" w:lineRule="auto"/>
            </w:pPr>
            <w:r>
              <w:rPr>
                <w:color w:val="163342"/>
                <w:sz w:val="17"/>
              </w:rPr>
              <w:t>Evidence and Details</w:t>
            </w:r>
          </w:p>
        </w:tc>
        <w:tc>
          <w:tcPr>
            <w:tcW w:type="dxa" w:w="6990"/>
            <w:vAlign w:val="center"/>
            <w:tcMar>
              <w:top w:w="100" w:type="dxa"/>
              <w:start w:w="120" w:type="dxa"/>
              <w:bottom w:w="100" w:type="dxa"/>
              <w:end w:w="120" w:type="dxa"/>
            </w:tcMar>
          </w:tcPr>
          <w:p>
            <w:pPr>
              <w:spacing w:after="0" w:line="247" w:lineRule="auto"/>
            </w:pPr>
            <w:r>
              <w:rPr>
                <w:color w:val="163342"/>
                <w:sz w:val="17"/>
              </w:rPr>
              <w:t>Compact source, period, version, limitations and links; collapsed in web view, summarized in PDF.</w:t>
            </w:r>
          </w:p>
        </w:tc>
      </w:tr>
    </w:tbl>
    <w:p>
      <w:pPr>
        <w:spacing w:after="20"/>
      </w:pPr>
    </w:p>
    <w:p>
      <w:pPr>
        <w:pStyle w:val="Heading2"/>
        <w:keepNext/>
      </w:pPr>
      <w:r>
        <w:t>6.2 Growth Summary narrative</w:t>
      </w:r>
    </w:p>
    <w:p>
      <w:r>
        <w:t>The summary is not marketing copy and must not praise activity that did not produce a supported outcome. It uses the business owner’s language and begins with the most important business result, not the number of tasks completed.</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Good example  </w:t>
      </w:r>
      <w:r>
        <w:t>Qualified leads increased from 17 to 23 during July. Three new service pages were published and verified, and two began generating organic visits. Mobile form completion remains below the expected range, so the Next Best Action is to simplify the mobile quote form.</w:t>
      </w:r>
    </w:p>
    <w:p>
      <w:pPr>
        <w:spacing w:before="100" w:after="160"/>
        <w:ind w:left="173" w:right="173"/>
        <w:shd w:fill="FFF1F1"/>
        <w:pBdr>
          <w:top w:val="single" w:sz="5" w:space="4" w:color="CCD8E3"/>
          <w:left w:val="single" w:sz="5" w:space="4" w:color="CCD8E3"/>
          <w:bottom w:val="single" w:sz="5" w:space="4" w:color="CCD8E3"/>
          <w:right w:val="single" w:sz="5" w:space="4" w:color="CCD8E3"/>
        </w:pBdr>
      </w:pPr>
      <w:r>
        <w:rPr>
          <w:b/>
          <w:color w:val="10243E"/>
        </w:rPr>
        <w:t xml:space="preserve">Bad example  </w:t>
      </w:r>
      <w:r>
        <w:t>SEnuke AI achieved amazing growth by publishing three powerful pages. This is unsupported promotional language, hides the limitation and implies causality without evidence.</w:t>
      </w:r>
    </w:p>
    <w:p>
      <w:pPr>
        <w:pStyle w:val="Heading2"/>
        <w:keepNext/>
      </w:pPr>
      <w:r>
        <w:t>6.3 Work Completed rules</w:t>
      </w:r>
    </w:p>
    <w:p>
      <w:pPr>
        <w:pStyle w:val="ListBullet"/>
      </w:pPr>
      <w:r>
        <w:t>Include only work with a verified external state or a clearly labelled internal completion state.</w:t>
      </w:r>
    </w:p>
    <w:p>
      <w:pPr>
        <w:pStyle w:val="ListBullet"/>
      </w:pPr>
      <w:r>
        <w:t>Use the user-facing action name: “Published Visitor Insurance page,” not internal event codes.</w:t>
      </w:r>
    </w:p>
    <w:p>
      <w:pPr>
        <w:pStyle w:val="ListBullet"/>
      </w:pPr>
      <w:r>
        <w:t>Group repeated low-level operations into one meaningful item.</w:t>
      </w:r>
    </w:p>
    <w:p>
      <w:pPr>
        <w:pStyle w:val="ListBullet"/>
      </w:pPr>
      <w:r>
        <w:t>Show status: Completed, Published and Verified, Partially Completed, Rolled Back or Failed.</w:t>
      </w:r>
    </w:p>
    <w:p>
      <w:pPr>
        <w:pStyle w:val="ListBullet"/>
      </w:pPr>
      <w:r>
        <w:t>A failed or rolled-back action is not counted as a completed growth result.</w:t>
      </w:r>
    </w:p>
    <w:p>
      <w:pPr>
        <w:pStyle w:val="ListBullet"/>
      </w:pPr>
      <w:r>
        <w:t>Link each item to the execution record when the viewer is authorized.</w:t>
      </w:r>
    </w:p>
    <w:p>
      <w:pPr>
        <w:pStyle w:val="Heading2"/>
        <w:keepNext/>
      </w:pPr>
      <w:r>
        <w:t>6.4 Important Results rules</w:t>
      </w:r>
    </w:p>
    <w:p>
      <w:pPr>
        <w:pStyle w:val="ListBullet"/>
      </w:pPr>
      <w:r>
        <w:t>Display three to five metrics selected by the deterministic metric-selection policy in Section 7.</w:t>
      </w:r>
    </w:p>
    <w:p>
      <w:pPr>
        <w:pStyle w:val="ListBullet"/>
      </w:pPr>
      <w:r>
        <w:t>Show current value, compatible comparison value, direction, freshness and data state.</w:t>
      </w:r>
    </w:p>
    <w:p>
      <w:pPr>
        <w:pStyle w:val="ListBullet"/>
      </w:pPr>
      <w:r>
        <w:t>Rates include numerator and denominator in evidence details.</w:t>
      </w:r>
    </w:p>
    <w:p>
      <w:pPr>
        <w:pStyle w:val="ListBullet"/>
      </w:pPr>
      <w:r>
        <w:t>Currency shows configured workspace currency and source attribution.</w:t>
      </w:r>
    </w:p>
    <w:p>
      <w:pPr>
        <w:pStyle w:val="ListBullet"/>
      </w:pPr>
      <w:r>
        <w:t>Do not show a percentage change when the prior value is zero or the comparison is incompatible; use plain values and an explanation.</w:t>
      </w:r>
    </w:p>
    <w:p>
      <w:pPr>
        <w:pStyle w:val="ListBullet"/>
      </w:pPr>
      <w:r>
        <w:t>Negative or inconclusive results remain visible. Do not cherry-pick a favorable secondary metric.</w:t>
      </w:r>
    </w:p>
    <w:p>
      <w:pPr>
        <w:pStyle w:val="Heading2"/>
        <w:keepNext/>
      </w:pPr>
      <w:r>
        <w:t>6.5 Wins, problems and opportunities</w:t>
      </w:r>
    </w:p>
    <w:p>
      <w:r>
        <w:t>A win requires supporting evidence and materiality under the active policy. A problem or opportunity must be relevant to an approved objective, an active Strategy or a required measurement/technical safeguard. Each item stores its evidence references and links to detail.</w:t>
      </w:r>
    </w:p>
    <w:p>
      <w:pPr>
        <w:pStyle w:val="Heading2"/>
        <w:keepNext/>
      </w:pPr>
      <w:r>
        <w:t>6.6 Next Best Action block</w:t>
      </w:r>
    </w:p>
    <w:p>
      <w:r>
        <w:t>The report consumes the current or report-period NextBestActionDecision from the Workflow Controller. It never asks the language model to choose another action. The block includes:</w:t>
      </w:r>
    </w:p>
    <w:p>
      <w:pPr>
        <w:pStyle w:val="ListBullet"/>
      </w:pPr>
      <w:r>
        <w:t>Action title and short description.</w:t>
      </w:r>
    </w:p>
    <w:p>
      <w:pPr>
        <w:pStyle w:val="ListBullet"/>
      </w:pPr>
      <w:r>
        <w:t>Why this matters now.</w:t>
      </w:r>
    </w:p>
    <w:p>
      <w:pPr>
        <w:pStyle w:val="ListBullet"/>
      </w:pPr>
      <w:r>
        <w:t>Expected impact range or qualitative level, preserving the original estimate.</w:t>
      </w:r>
    </w:p>
    <w:p>
      <w:pPr>
        <w:pStyle w:val="ListBullet"/>
      </w:pPr>
      <w:r>
        <w:t>Confidence explanation based on evidence quality, not opaque AI certainty.</w:t>
      </w:r>
    </w:p>
    <w:p>
      <w:pPr>
        <w:pStyle w:val="ListBullet"/>
      </w:pPr>
      <w:r>
        <w:t>Effort level and any required approval.</w:t>
      </w:r>
    </w:p>
    <w:p>
      <w:pPr>
        <w:pStyle w:val="ListBullet"/>
      </w:pPr>
      <w:r>
        <w:t>Primary button: Review Action, Approve Plan or View Blocker according to the Workflow Controller state.</w:t>
      </w:r>
    </w:p>
    <w:p>
      <w:pPr>
        <w:pStyle w:val="Heading2"/>
        <w:keepNext/>
      </w:pPr>
      <w:r>
        <w:t>6.7 No-action and collecting-data states</w:t>
      </w:r>
    </w:p>
    <w:p>
      <w:r>
        <w:t>If no valid action exists, the report states this directly. Acceptable states include Collecting Data, Waiting for Outcome Maturity, Resolve Measurement Issue, Approval Required and No Material Action Recommended. The system must not create busy work to fill the block.</w:t>
      </w:r>
    </w:p>
    <w:p>
      <w:pPr>
        <w:pStyle w:val="Heading1"/>
        <w:keepNext/>
      </w:pPr>
      <w:r>
        <w:t>7. Metric Selection and Evidence Rules</w:t>
      </w:r>
    </w:p>
    <w:p>
      <w:r>
        <w:t>The report composer selects metrics deterministically before AI is called. The language model does not browse all available metrics and decide which numbers look best.</w:t>
      </w:r>
    </w:p>
    <w:p>
      <w:pPr>
        <w:pStyle w:val="Heading2"/>
        <w:keepNext/>
      </w:pPr>
      <w:r>
        <w:t>7.1 Metric priority order</w:t>
      </w:r>
    </w:p>
    <w:p>
      <w:pPr>
        <w:pStyle w:val="ListNumber"/>
      </w:pPr>
      <w:r>
        <w:t>The active business objective’s primary outcome metric.</w:t>
      </w:r>
    </w:p>
    <w:p>
      <w:pPr>
        <w:pStyle w:val="ListNumber"/>
      </w:pPr>
      <w:r>
        <w:t>Primary metrics from active Measurement Plans that overlap the reporting period.</w:t>
      </w:r>
    </w:p>
    <w:p>
      <w:pPr>
        <w:pStyle w:val="ListNumber"/>
      </w:pPr>
      <w:r>
        <w:t>Critical guardrail metrics that materially changed or were harmed.</w:t>
      </w:r>
    </w:p>
    <w:p>
      <w:pPr>
        <w:pStyle w:val="ListNumber"/>
      </w:pPr>
      <w:r>
        <w:t>One or two supporting metrics needed to explain the outcome.</w:t>
      </w:r>
    </w:p>
    <w:p>
      <w:pPr>
        <w:pStyle w:val="ListNumber"/>
      </w:pPr>
      <w:r>
        <w:t>A measurement/data-quality metric only when it changes what can be concluded.</w:t>
      </w:r>
    </w:p>
    <w:p>
      <w:pPr>
        <w:pStyle w:val="Heading2"/>
        <w:keepNext/>
      </w:pPr>
      <w:r>
        <w:t>7.2 Maximum metric count</w:t>
      </w:r>
    </w:p>
    <w:p>
      <w:r>
        <w:t>The main report contains at most five Important Results. Additional metrics remain in Evidence and Details. If several locations or campaigns use the same metric, the main report uses a valid aggregate or the most strategy-relevant scope; it does not create one card per item.</w:t>
      </w:r>
    </w:p>
    <w:p>
      <w:pPr>
        <w:pStyle w:val="Heading2"/>
        <w:keepNext/>
      </w:pPr>
      <w:r>
        <w:t>7.3 Metric state model</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200"/>
        <w:gridCol w:w="2800"/>
        <w:gridCol w:w="4360"/>
      </w:tblGrid>
      <w:tr>
        <w:trPr>
          <w:tblHeader w:val="true"/>
        </w:trPr>
        <w:tc>
          <w:tcPr>
            <w:tcW w:type="dxa" w:w="2200"/>
            <w:shd w:fill="EAF2F8"/>
            <w:vAlign w:val="center"/>
            <w:tcMar>
              <w:top w:w="100" w:type="dxa"/>
              <w:start w:w="120" w:type="dxa"/>
              <w:bottom w:w="100" w:type="dxa"/>
              <w:end w:w="120" w:type="dxa"/>
            </w:tcMar>
          </w:tcPr>
          <w:p>
            <w:r>
              <w:rPr>
                <w:b/>
                <w:color w:val="10243E"/>
                <w:sz w:val="17"/>
              </w:rPr>
              <w:t>State</w:t>
            </w:r>
          </w:p>
        </w:tc>
        <w:tc>
          <w:tcPr>
            <w:tcW w:type="dxa" w:w="2800"/>
            <w:shd w:fill="EAF2F8"/>
            <w:vAlign w:val="center"/>
            <w:tcMar>
              <w:top w:w="100" w:type="dxa"/>
              <w:start w:w="120" w:type="dxa"/>
              <w:bottom w:w="100" w:type="dxa"/>
              <w:end w:w="120" w:type="dxa"/>
            </w:tcMar>
          </w:tcPr>
          <w:p>
            <w:r>
              <w:rPr>
                <w:b/>
                <w:color w:val="10243E"/>
                <w:sz w:val="17"/>
              </w:rPr>
              <w:t>Display</w:t>
            </w:r>
          </w:p>
        </w:tc>
        <w:tc>
          <w:tcPr>
            <w:tcW w:type="dxa" w:w="4360"/>
            <w:shd w:fill="EAF2F8"/>
            <w:vAlign w:val="center"/>
            <w:tcMar>
              <w:top w:w="100" w:type="dxa"/>
              <w:start w:w="120" w:type="dxa"/>
              <w:bottom w:w="100" w:type="dxa"/>
              <w:end w:w="120" w:type="dxa"/>
            </w:tcMar>
          </w:tcPr>
          <w:p>
            <w:r>
              <w:rPr>
                <w:b/>
                <w:color w:val="10243E"/>
                <w:sz w:val="17"/>
              </w:rPr>
              <w:t>Meaning</w:t>
            </w:r>
          </w:p>
        </w:tc>
      </w:tr>
      <w:tr>
        <w:tc>
          <w:tcPr>
            <w:tcW w:type="dxa" w:w="2200"/>
            <w:vAlign w:val="center"/>
            <w:tcMar>
              <w:top w:w="100" w:type="dxa"/>
              <w:start w:w="120" w:type="dxa"/>
              <w:bottom w:w="100" w:type="dxa"/>
              <w:end w:w="120" w:type="dxa"/>
            </w:tcMar>
          </w:tcPr>
          <w:p>
            <w:pPr>
              <w:spacing w:after="0" w:line="247" w:lineRule="auto"/>
            </w:pPr>
            <w:r>
              <w:rPr>
                <w:color w:val="163342"/>
                <w:sz w:val="17"/>
              </w:rPr>
              <w:t>OBSERVED</w:t>
            </w:r>
          </w:p>
        </w:tc>
        <w:tc>
          <w:tcPr>
            <w:tcW w:type="dxa" w:w="2800"/>
            <w:vAlign w:val="center"/>
            <w:tcMar>
              <w:top w:w="100" w:type="dxa"/>
              <w:start w:w="120" w:type="dxa"/>
              <w:bottom w:w="100" w:type="dxa"/>
              <w:end w:w="120" w:type="dxa"/>
            </w:tcMar>
          </w:tcPr>
          <w:p>
            <w:pPr>
              <w:spacing w:after="0" w:line="247" w:lineRule="auto"/>
            </w:pPr>
            <w:r>
              <w:rPr>
                <w:color w:val="163342"/>
                <w:sz w:val="17"/>
              </w:rPr>
              <w:t>Numeric value</w:t>
            </w:r>
          </w:p>
        </w:tc>
        <w:tc>
          <w:tcPr>
            <w:tcW w:type="dxa" w:w="4360"/>
            <w:vAlign w:val="center"/>
            <w:tcMar>
              <w:top w:w="100" w:type="dxa"/>
              <w:start w:w="120" w:type="dxa"/>
              <w:bottom w:w="100" w:type="dxa"/>
              <w:end w:w="120" w:type="dxa"/>
            </w:tcMar>
          </w:tcPr>
          <w:p>
            <w:pPr>
              <w:spacing w:after="0" w:line="247" w:lineRule="auto"/>
            </w:pPr>
            <w:r>
              <w:rPr>
                <w:color w:val="163342"/>
                <w:sz w:val="17"/>
              </w:rPr>
              <w:t>Directly observed under the stated source and definition.</w:t>
            </w:r>
          </w:p>
        </w:tc>
      </w:tr>
      <w:tr>
        <w:tc>
          <w:tcPr>
            <w:tcW w:type="dxa" w:w="2200"/>
            <w:vAlign w:val="center"/>
            <w:tcMar>
              <w:top w:w="100" w:type="dxa"/>
              <w:start w:w="120" w:type="dxa"/>
              <w:bottom w:w="100" w:type="dxa"/>
              <w:end w:w="120" w:type="dxa"/>
            </w:tcMar>
          </w:tcPr>
          <w:p>
            <w:pPr>
              <w:spacing w:after="0" w:line="247" w:lineRule="auto"/>
            </w:pPr>
            <w:r>
              <w:rPr>
                <w:color w:val="163342"/>
                <w:sz w:val="17"/>
              </w:rPr>
              <w:t>PROVIDER_MODELLED</w:t>
            </w:r>
          </w:p>
        </w:tc>
        <w:tc>
          <w:tcPr>
            <w:tcW w:type="dxa" w:w="2800"/>
            <w:vAlign w:val="center"/>
            <w:tcMar>
              <w:top w:w="100" w:type="dxa"/>
              <w:start w:w="120" w:type="dxa"/>
              <w:bottom w:w="100" w:type="dxa"/>
              <w:end w:w="120" w:type="dxa"/>
            </w:tcMar>
          </w:tcPr>
          <w:p>
            <w:pPr>
              <w:spacing w:after="0" w:line="247" w:lineRule="auto"/>
            </w:pPr>
            <w:r>
              <w:rPr>
                <w:color w:val="163342"/>
                <w:sz w:val="17"/>
              </w:rPr>
              <w:t>Value + Modelled label</w:t>
            </w:r>
          </w:p>
        </w:tc>
        <w:tc>
          <w:tcPr>
            <w:tcW w:type="dxa" w:w="4360"/>
            <w:vAlign w:val="center"/>
            <w:tcMar>
              <w:top w:w="100" w:type="dxa"/>
              <w:start w:w="120" w:type="dxa"/>
              <w:bottom w:w="100" w:type="dxa"/>
              <w:end w:w="120" w:type="dxa"/>
            </w:tcMar>
          </w:tcPr>
          <w:p>
            <w:pPr>
              <w:spacing w:after="0" w:line="247" w:lineRule="auto"/>
            </w:pPr>
            <w:r>
              <w:rPr>
                <w:color w:val="163342"/>
                <w:sz w:val="17"/>
              </w:rPr>
              <w:t>Provider supplied an estimate; not direct observation.</w:t>
            </w:r>
          </w:p>
        </w:tc>
      </w:tr>
      <w:tr>
        <w:tc>
          <w:tcPr>
            <w:tcW w:type="dxa" w:w="2200"/>
            <w:vAlign w:val="center"/>
            <w:tcMar>
              <w:top w:w="100" w:type="dxa"/>
              <w:start w:w="120" w:type="dxa"/>
              <w:bottom w:w="100" w:type="dxa"/>
              <w:end w:w="120" w:type="dxa"/>
            </w:tcMar>
          </w:tcPr>
          <w:p>
            <w:pPr>
              <w:spacing w:after="0" w:line="247" w:lineRule="auto"/>
            </w:pPr>
            <w:r>
              <w:rPr>
                <w:color w:val="163342"/>
                <w:sz w:val="17"/>
              </w:rPr>
              <w:t>PROVISIONAL</w:t>
            </w:r>
          </w:p>
        </w:tc>
        <w:tc>
          <w:tcPr>
            <w:tcW w:type="dxa" w:w="2800"/>
            <w:vAlign w:val="center"/>
            <w:tcMar>
              <w:top w:w="100" w:type="dxa"/>
              <w:start w:w="120" w:type="dxa"/>
              <w:bottom w:w="100" w:type="dxa"/>
              <w:end w:w="120" w:type="dxa"/>
            </w:tcMar>
          </w:tcPr>
          <w:p>
            <w:pPr>
              <w:spacing w:after="0" w:line="247" w:lineRule="auto"/>
            </w:pPr>
            <w:r>
              <w:rPr>
                <w:color w:val="163342"/>
                <w:sz w:val="17"/>
              </w:rPr>
              <w:t>Value + Provisional label</w:t>
            </w:r>
          </w:p>
        </w:tc>
        <w:tc>
          <w:tcPr>
            <w:tcW w:type="dxa" w:w="4360"/>
            <w:vAlign w:val="center"/>
            <w:tcMar>
              <w:top w:w="100" w:type="dxa"/>
              <w:start w:w="120" w:type="dxa"/>
              <w:bottom w:w="100" w:type="dxa"/>
              <w:end w:w="120" w:type="dxa"/>
            </w:tcMar>
          </w:tcPr>
          <w:p>
            <w:pPr>
              <w:spacing w:after="0" w:line="247" w:lineRule="auto"/>
            </w:pPr>
            <w:r>
              <w:rPr>
                <w:color w:val="163342"/>
                <w:sz w:val="17"/>
              </w:rPr>
              <w:t>Outcome window or late-data period is not mature.</w:t>
            </w:r>
          </w:p>
        </w:tc>
      </w:tr>
      <w:tr>
        <w:tc>
          <w:tcPr>
            <w:tcW w:type="dxa" w:w="2200"/>
            <w:vAlign w:val="center"/>
            <w:tcMar>
              <w:top w:w="100" w:type="dxa"/>
              <w:start w:w="120" w:type="dxa"/>
              <w:bottom w:w="100" w:type="dxa"/>
              <w:end w:w="120" w:type="dxa"/>
            </w:tcMar>
          </w:tcPr>
          <w:p>
            <w:pPr>
              <w:spacing w:after="0" w:line="247" w:lineRule="auto"/>
            </w:pPr>
            <w:r>
              <w:rPr>
                <w:color w:val="163342"/>
                <w:sz w:val="17"/>
              </w:rPr>
              <w:t>NO_BASELINE</w:t>
            </w:r>
          </w:p>
        </w:tc>
        <w:tc>
          <w:tcPr>
            <w:tcW w:type="dxa" w:w="2800"/>
            <w:vAlign w:val="center"/>
            <w:tcMar>
              <w:top w:w="100" w:type="dxa"/>
              <w:start w:w="120" w:type="dxa"/>
              <w:bottom w:w="100" w:type="dxa"/>
              <w:end w:w="120" w:type="dxa"/>
            </w:tcMar>
          </w:tcPr>
          <w:p>
            <w:pPr>
              <w:spacing w:after="0" w:line="247" w:lineRule="auto"/>
            </w:pPr>
            <w:r>
              <w:rPr>
                <w:color w:val="163342"/>
                <w:sz w:val="17"/>
              </w:rPr>
              <w:t>No baseline</w:t>
            </w:r>
          </w:p>
        </w:tc>
        <w:tc>
          <w:tcPr>
            <w:tcW w:type="dxa" w:w="4360"/>
            <w:vAlign w:val="center"/>
            <w:tcMar>
              <w:top w:w="100" w:type="dxa"/>
              <w:start w:w="120" w:type="dxa"/>
              <w:bottom w:w="100" w:type="dxa"/>
              <w:end w:w="120" w:type="dxa"/>
            </w:tcMar>
          </w:tcPr>
          <w:p>
            <w:pPr>
              <w:spacing w:after="0" w:line="247" w:lineRule="auto"/>
            </w:pPr>
            <w:r>
              <w:rPr>
                <w:color w:val="163342"/>
                <w:sz w:val="17"/>
              </w:rPr>
              <w:t>New asset or incompatible prior period prevents lift calculation.</w:t>
            </w:r>
          </w:p>
        </w:tc>
      </w:tr>
      <w:tr>
        <w:tc>
          <w:tcPr>
            <w:tcW w:type="dxa" w:w="2200"/>
            <w:vAlign w:val="center"/>
            <w:tcMar>
              <w:top w:w="100" w:type="dxa"/>
              <w:start w:w="120" w:type="dxa"/>
              <w:bottom w:w="100" w:type="dxa"/>
              <w:end w:w="120" w:type="dxa"/>
            </w:tcMar>
          </w:tcPr>
          <w:p>
            <w:pPr>
              <w:spacing w:after="0" w:line="247" w:lineRule="auto"/>
            </w:pPr>
            <w:r>
              <w:rPr>
                <w:color w:val="163342"/>
                <w:sz w:val="17"/>
              </w:rPr>
              <w:t>INSUFFICIENT_DATA</w:t>
            </w:r>
          </w:p>
        </w:tc>
        <w:tc>
          <w:tcPr>
            <w:tcW w:type="dxa" w:w="2800"/>
            <w:vAlign w:val="center"/>
            <w:tcMar>
              <w:top w:w="100" w:type="dxa"/>
              <w:start w:w="120" w:type="dxa"/>
              <w:bottom w:w="100" w:type="dxa"/>
              <w:end w:w="120" w:type="dxa"/>
            </w:tcMar>
          </w:tcPr>
          <w:p>
            <w:pPr>
              <w:spacing w:after="0" w:line="247" w:lineRule="auto"/>
            </w:pPr>
            <w:r>
              <w:rPr>
                <w:color w:val="163342"/>
                <w:sz w:val="17"/>
              </w:rPr>
              <w:t>Insufficient data</w:t>
            </w:r>
          </w:p>
        </w:tc>
        <w:tc>
          <w:tcPr>
            <w:tcW w:type="dxa" w:w="4360"/>
            <w:vAlign w:val="center"/>
            <w:tcMar>
              <w:top w:w="100" w:type="dxa"/>
              <w:start w:w="120" w:type="dxa"/>
              <w:bottom w:w="100" w:type="dxa"/>
              <w:end w:w="120" w:type="dxa"/>
            </w:tcMar>
          </w:tcPr>
          <w:p>
            <w:pPr>
              <w:spacing w:after="0" w:line="247" w:lineRule="auto"/>
            </w:pPr>
            <w:r>
              <w:rPr>
                <w:color w:val="163342"/>
                <w:sz w:val="17"/>
              </w:rPr>
              <w:t>Data exists but does not support a reliable conclusion.</w:t>
            </w:r>
          </w:p>
        </w:tc>
      </w:tr>
      <w:tr>
        <w:tc>
          <w:tcPr>
            <w:tcW w:type="dxa" w:w="2200"/>
            <w:vAlign w:val="center"/>
            <w:tcMar>
              <w:top w:w="100" w:type="dxa"/>
              <w:start w:w="120" w:type="dxa"/>
              <w:bottom w:w="100" w:type="dxa"/>
              <w:end w:w="120" w:type="dxa"/>
            </w:tcMar>
          </w:tcPr>
          <w:p>
            <w:pPr>
              <w:spacing w:after="0" w:line="247" w:lineRule="auto"/>
            </w:pPr>
            <w:r>
              <w:rPr>
                <w:color w:val="163342"/>
                <w:sz w:val="17"/>
              </w:rPr>
              <w:t>NOT_CONNECTED</w:t>
            </w:r>
          </w:p>
        </w:tc>
        <w:tc>
          <w:tcPr>
            <w:tcW w:type="dxa" w:w="2800"/>
            <w:vAlign w:val="center"/>
            <w:tcMar>
              <w:top w:w="100" w:type="dxa"/>
              <w:start w:w="120" w:type="dxa"/>
              <w:bottom w:w="100" w:type="dxa"/>
              <w:end w:w="120" w:type="dxa"/>
            </w:tcMar>
          </w:tcPr>
          <w:p>
            <w:pPr>
              <w:spacing w:after="0" w:line="247" w:lineRule="auto"/>
            </w:pPr>
            <w:r>
              <w:rPr>
                <w:color w:val="163342"/>
                <w:sz w:val="17"/>
              </w:rPr>
              <w:t>Not connected</w:t>
            </w:r>
          </w:p>
        </w:tc>
        <w:tc>
          <w:tcPr>
            <w:tcW w:type="dxa" w:w="4360"/>
            <w:vAlign w:val="center"/>
            <w:tcMar>
              <w:top w:w="100" w:type="dxa"/>
              <w:start w:w="120" w:type="dxa"/>
              <w:bottom w:w="100" w:type="dxa"/>
              <w:end w:w="120" w:type="dxa"/>
            </w:tcMar>
          </w:tcPr>
          <w:p>
            <w:pPr>
              <w:spacing w:after="0" w:line="247" w:lineRule="auto"/>
            </w:pPr>
            <w:r>
              <w:rPr>
                <w:color w:val="163342"/>
                <w:sz w:val="17"/>
              </w:rPr>
              <w:t>Required integration is absent.</w:t>
            </w:r>
          </w:p>
        </w:tc>
      </w:tr>
      <w:tr>
        <w:tc>
          <w:tcPr>
            <w:tcW w:type="dxa" w:w="2200"/>
            <w:vAlign w:val="center"/>
            <w:tcMar>
              <w:top w:w="100" w:type="dxa"/>
              <w:start w:w="120" w:type="dxa"/>
              <w:bottom w:w="100" w:type="dxa"/>
              <w:end w:w="120" w:type="dxa"/>
            </w:tcMar>
          </w:tcPr>
          <w:p>
            <w:pPr>
              <w:spacing w:after="0" w:line="247" w:lineRule="auto"/>
            </w:pPr>
            <w:r>
              <w:rPr>
                <w:color w:val="163342"/>
                <w:sz w:val="17"/>
              </w:rPr>
              <w:t>SOURCE_DELAYED</w:t>
            </w:r>
          </w:p>
        </w:tc>
        <w:tc>
          <w:tcPr>
            <w:tcW w:type="dxa" w:w="2800"/>
            <w:vAlign w:val="center"/>
            <w:tcMar>
              <w:top w:w="100" w:type="dxa"/>
              <w:start w:w="120" w:type="dxa"/>
              <w:bottom w:w="100" w:type="dxa"/>
              <w:end w:w="120" w:type="dxa"/>
            </w:tcMar>
          </w:tcPr>
          <w:p>
            <w:pPr>
              <w:spacing w:after="0" w:line="247" w:lineRule="auto"/>
            </w:pPr>
            <w:r>
              <w:rPr>
                <w:color w:val="163342"/>
                <w:sz w:val="17"/>
              </w:rPr>
              <w:t>Data delayed</w:t>
            </w:r>
          </w:p>
        </w:tc>
        <w:tc>
          <w:tcPr>
            <w:tcW w:type="dxa" w:w="4360"/>
            <w:vAlign w:val="center"/>
            <w:tcMar>
              <w:top w:w="100" w:type="dxa"/>
              <w:start w:w="120" w:type="dxa"/>
              <w:bottom w:w="100" w:type="dxa"/>
              <w:end w:w="120" w:type="dxa"/>
            </w:tcMar>
          </w:tcPr>
          <w:p>
            <w:pPr>
              <w:spacing w:after="0" w:line="247" w:lineRule="auto"/>
            </w:pPr>
            <w:r>
              <w:rPr>
                <w:color w:val="163342"/>
                <w:sz w:val="17"/>
              </w:rPr>
              <w:t>Provider freshness is outside policy.</w:t>
            </w:r>
          </w:p>
        </w:tc>
      </w:tr>
      <w:tr>
        <w:tc>
          <w:tcPr>
            <w:tcW w:type="dxa" w:w="2200"/>
            <w:vAlign w:val="center"/>
            <w:tcMar>
              <w:top w:w="100" w:type="dxa"/>
              <w:start w:w="120" w:type="dxa"/>
              <w:bottom w:w="100" w:type="dxa"/>
              <w:end w:w="120" w:type="dxa"/>
            </w:tcMar>
          </w:tcPr>
          <w:p>
            <w:pPr>
              <w:spacing w:after="0" w:line="247" w:lineRule="auto"/>
            </w:pPr>
            <w:r>
              <w:rPr>
                <w:color w:val="163342"/>
                <w:sz w:val="17"/>
              </w:rPr>
              <w:t>CONSENT_RESTRICTED</w:t>
            </w:r>
          </w:p>
        </w:tc>
        <w:tc>
          <w:tcPr>
            <w:tcW w:type="dxa" w:w="2800"/>
            <w:vAlign w:val="center"/>
            <w:tcMar>
              <w:top w:w="100" w:type="dxa"/>
              <w:start w:w="120" w:type="dxa"/>
              <w:bottom w:w="100" w:type="dxa"/>
              <w:end w:w="120" w:type="dxa"/>
            </w:tcMar>
          </w:tcPr>
          <w:p>
            <w:pPr>
              <w:spacing w:after="0" w:line="247" w:lineRule="auto"/>
            </w:pPr>
            <w:r>
              <w:rPr>
                <w:color w:val="163342"/>
                <w:sz w:val="17"/>
              </w:rPr>
              <w:t>Limited by consent</w:t>
            </w:r>
          </w:p>
        </w:tc>
        <w:tc>
          <w:tcPr>
            <w:tcW w:type="dxa" w:w="4360"/>
            <w:vAlign w:val="center"/>
            <w:tcMar>
              <w:top w:w="100" w:type="dxa"/>
              <w:start w:w="120" w:type="dxa"/>
              <w:bottom w:w="100" w:type="dxa"/>
              <w:end w:w="120" w:type="dxa"/>
            </w:tcMar>
          </w:tcPr>
          <w:p>
            <w:pPr>
              <w:spacing w:after="0" w:line="247" w:lineRule="auto"/>
            </w:pPr>
            <w:r>
              <w:rPr>
                <w:color w:val="163342"/>
                <w:sz w:val="17"/>
              </w:rPr>
              <w:t>Permitted collection does not include the metric.</w:t>
            </w:r>
          </w:p>
        </w:tc>
      </w:tr>
      <w:tr>
        <w:tc>
          <w:tcPr>
            <w:tcW w:type="dxa" w:w="2200"/>
            <w:vAlign w:val="center"/>
            <w:tcMar>
              <w:top w:w="100" w:type="dxa"/>
              <w:start w:w="120" w:type="dxa"/>
              <w:bottom w:w="100" w:type="dxa"/>
              <w:end w:w="120" w:type="dxa"/>
            </w:tcMar>
          </w:tcPr>
          <w:p>
            <w:pPr>
              <w:spacing w:after="0" w:line="247" w:lineRule="auto"/>
            </w:pPr>
            <w:r>
              <w:rPr>
                <w:color w:val="163342"/>
                <w:sz w:val="17"/>
              </w:rPr>
              <w:t>NOT_APPLICABLE</w:t>
            </w:r>
          </w:p>
        </w:tc>
        <w:tc>
          <w:tcPr>
            <w:tcW w:type="dxa" w:w="2800"/>
            <w:vAlign w:val="center"/>
            <w:tcMar>
              <w:top w:w="100" w:type="dxa"/>
              <w:start w:w="120" w:type="dxa"/>
              <w:bottom w:w="100" w:type="dxa"/>
              <w:end w:w="120" w:type="dxa"/>
            </w:tcMar>
          </w:tcPr>
          <w:p>
            <w:pPr>
              <w:spacing w:after="0" w:line="247" w:lineRule="auto"/>
            </w:pPr>
            <w:r>
              <w:rPr>
                <w:color w:val="163342"/>
                <w:sz w:val="17"/>
              </w:rPr>
              <w:t>Not applicable</w:t>
            </w:r>
          </w:p>
        </w:tc>
        <w:tc>
          <w:tcPr>
            <w:tcW w:type="dxa" w:w="4360"/>
            <w:vAlign w:val="center"/>
            <w:tcMar>
              <w:top w:w="100" w:type="dxa"/>
              <w:start w:w="120" w:type="dxa"/>
              <w:bottom w:w="100" w:type="dxa"/>
              <w:end w:w="120" w:type="dxa"/>
            </w:tcMar>
          </w:tcPr>
          <w:p>
            <w:pPr>
              <w:spacing w:after="0" w:line="247" w:lineRule="auto"/>
            </w:pPr>
            <w:r>
              <w:rPr>
                <w:color w:val="163342"/>
                <w:sz w:val="17"/>
              </w:rPr>
              <w:t>Metric does not apply to this Strategy or business model.</w:t>
            </w:r>
          </w:p>
        </w:tc>
      </w:tr>
    </w:tbl>
    <w:p>
      <w:pPr>
        <w:spacing w:after="20"/>
      </w:pP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Mandatory rule  </w:t>
      </w:r>
      <w:r>
        <w:t>Missing, unavailable, disconnected, delayed and consent-restricted values are never converted to numeric zero.</w:t>
      </w:r>
    </w:p>
    <w:p>
      <w:pPr>
        <w:pStyle w:val="Heading2"/>
        <w:keepNext/>
      </w:pPr>
      <w:r>
        <w:t>7.4 Comparison compatibility</w:t>
      </w:r>
    </w:p>
    <w:p>
      <w:r>
        <w:t>A report may compare periods only when metric definition, source mapping, funnel definition, material page/asset version, population and consent behavior are compatible or an approved compatibility mapping exists. Otherwise show both values separately and label the boundary.</w:t>
      </w:r>
    </w:p>
    <w:p>
      <w:pPr>
        <w:pStyle w:val="Heading2"/>
        <w:keepNext/>
      </w:pPr>
      <w:r>
        <w:t>7.5 Evidence language</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600"/>
        <w:gridCol w:w="6760"/>
      </w:tblGrid>
      <w:tr>
        <w:trPr>
          <w:tblHeader w:val="true"/>
        </w:trPr>
        <w:tc>
          <w:tcPr>
            <w:tcW w:type="dxa" w:w="2600"/>
            <w:shd w:fill="EAF2F8"/>
            <w:vAlign w:val="center"/>
            <w:tcMar>
              <w:top w:w="100" w:type="dxa"/>
              <w:start w:w="120" w:type="dxa"/>
              <w:bottom w:w="100" w:type="dxa"/>
              <w:end w:w="120" w:type="dxa"/>
            </w:tcMar>
          </w:tcPr>
          <w:p>
            <w:r>
              <w:rPr>
                <w:b/>
                <w:color w:val="10243E"/>
                <w:sz w:val="18"/>
              </w:rPr>
              <w:t>Evidence type</w:t>
            </w:r>
          </w:p>
        </w:tc>
        <w:tc>
          <w:tcPr>
            <w:tcW w:type="dxa" w:w="6760"/>
            <w:shd w:fill="EAF2F8"/>
            <w:vAlign w:val="center"/>
            <w:tcMar>
              <w:top w:w="100" w:type="dxa"/>
              <w:start w:w="120" w:type="dxa"/>
              <w:bottom w:w="100" w:type="dxa"/>
              <w:end w:w="120" w:type="dxa"/>
            </w:tcMar>
          </w:tcPr>
          <w:p>
            <w:r>
              <w:rPr>
                <w:b/>
                <w:color w:val="10243E"/>
                <w:sz w:val="18"/>
              </w:rPr>
              <w:t>Allowed wording</w:t>
            </w:r>
          </w:p>
        </w:tc>
      </w:tr>
      <w:tr>
        <w:tc>
          <w:tcPr>
            <w:tcW w:type="dxa" w:w="2600"/>
            <w:vAlign w:val="center"/>
            <w:tcMar>
              <w:top w:w="100" w:type="dxa"/>
              <w:start w:w="120" w:type="dxa"/>
              <w:bottom w:w="100" w:type="dxa"/>
              <w:end w:w="120" w:type="dxa"/>
            </w:tcMar>
          </w:tcPr>
          <w:p>
            <w:pPr>
              <w:spacing w:after="0" w:line="247" w:lineRule="auto"/>
            </w:pPr>
            <w:r>
              <w:rPr>
                <w:color w:val="163342"/>
                <w:sz w:val="18"/>
              </w:rPr>
              <w:t>Controlled valid experiment</w:t>
            </w:r>
          </w:p>
        </w:tc>
        <w:tc>
          <w:tcPr>
            <w:tcW w:type="dxa" w:w="6760"/>
            <w:vAlign w:val="center"/>
            <w:tcMar>
              <w:top w:w="100" w:type="dxa"/>
              <w:start w:w="120" w:type="dxa"/>
              <w:bottom w:w="100" w:type="dxa"/>
              <w:end w:w="120" w:type="dxa"/>
            </w:tcMar>
          </w:tcPr>
          <w:p>
            <w:pPr>
              <w:spacing w:after="0" w:line="247" w:lineRule="auto"/>
            </w:pPr>
            <w:r>
              <w:rPr>
                <w:color w:val="163342"/>
                <w:sz w:val="18"/>
              </w:rPr>
              <w:t>“The test measured…” or “Variant B produced an estimated…”</w:t>
            </w:r>
          </w:p>
        </w:tc>
      </w:tr>
      <w:tr>
        <w:tc>
          <w:tcPr>
            <w:tcW w:type="dxa" w:w="2600"/>
            <w:vAlign w:val="center"/>
            <w:tcMar>
              <w:top w:w="100" w:type="dxa"/>
              <w:start w:w="120" w:type="dxa"/>
              <w:bottom w:w="100" w:type="dxa"/>
              <w:end w:w="120" w:type="dxa"/>
            </w:tcMar>
          </w:tcPr>
          <w:p>
            <w:pPr>
              <w:spacing w:after="0" w:line="247" w:lineRule="auto"/>
            </w:pPr>
            <w:r>
              <w:rPr>
                <w:color w:val="163342"/>
                <w:sz w:val="18"/>
              </w:rPr>
              <w:t>Observational comparison</w:t>
            </w:r>
          </w:p>
        </w:tc>
        <w:tc>
          <w:tcPr>
            <w:tcW w:type="dxa" w:w="6760"/>
            <w:vAlign w:val="center"/>
            <w:tcMar>
              <w:top w:w="100" w:type="dxa"/>
              <w:start w:w="120" w:type="dxa"/>
              <w:bottom w:w="100" w:type="dxa"/>
              <w:end w:w="120" w:type="dxa"/>
            </w:tcMar>
          </w:tcPr>
          <w:p>
            <w:pPr>
              <w:spacing w:after="0" w:line="247" w:lineRule="auto"/>
            </w:pPr>
            <w:r>
              <w:rPr>
                <w:color w:val="163342"/>
                <w:sz w:val="18"/>
              </w:rPr>
              <w:t>“Performance improved after the change; other factors may have contributed.”</w:t>
            </w:r>
          </w:p>
        </w:tc>
      </w:tr>
      <w:tr>
        <w:tc>
          <w:tcPr>
            <w:tcW w:type="dxa" w:w="2600"/>
            <w:vAlign w:val="center"/>
            <w:tcMar>
              <w:top w:w="100" w:type="dxa"/>
              <w:start w:w="120" w:type="dxa"/>
              <w:bottom w:w="100" w:type="dxa"/>
              <w:end w:w="120" w:type="dxa"/>
            </w:tcMar>
          </w:tcPr>
          <w:p>
            <w:pPr>
              <w:spacing w:after="0" w:line="247" w:lineRule="auto"/>
            </w:pPr>
            <w:r>
              <w:rPr>
                <w:color w:val="163342"/>
                <w:sz w:val="18"/>
              </w:rPr>
              <w:t>Provider attribution</w:t>
            </w:r>
          </w:p>
        </w:tc>
        <w:tc>
          <w:tcPr>
            <w:tcW w:type="dxa" w:w="6760"/>
            <w:vAlign w:val="center"/>
            <w:tcMar>
              <w:top w:w="100" w:type="dxa"/>
              <w:start w:w="120" w:type="dxa"/>
              <w:bottom w:w="100" w:type="dxa"/>
              <w:end w:w="120" w:type="dxa"/>
            </w:tcMar>
          </w:tcPr>
          <w:p>
            <w:pPr>
              <w:spacing w:after="0" w:line="247" w:lineRule="auto"/>
            </w:pPr>
            <w:r>
              <w:rPr>
                <w:color w:val="163342"/>
                <w:sz w:val="18"/>
              </w:rPr>
              <w:t>“GA4 attributed…” or “The CRM associated…”</w:t>
            </w:r>
          </w:p>
        </w:tc>
      </w:tr>
      <w:tr>
        <w:tc>
          <w:tcPr>
            <w:tcW w:type="dxa" w:w="2600"/>
            <w:vAlign w:val="center"/>
            <w:tcMar>
              <w:top w:w="100" w:type="dxa"/>
              <w:start w:w="120" w:type="dxa"/>
              <w:bottom w:w="100" w:type="dxa"/>
              <w:end w:w="120" w:type="dxa"/>
            </w:tcMar>
          </w:tcPr>
          <w:p>
            <w:pPr>
              <w:spacing w:after="0" w:line="247" w:lineRule="auto"/>
            </w:pPr>
            <w:r>
              <w:rPr>
                <w:color w:val="163342"/>
                <w:sz w:val="18"/>
              </w:rPr>
              <w:t>Provider-modelled value</w:t>
            </w:r>
          </w:p>
        </w:tc>
        <w:tc>
          <w:tcPr>
            <w:tcW w:type="dxa" w:w="6760"/>
            <w:vAlign w:val="center"/>
            <w:tcMar>
              <w:top w:w="100" w:type="dxa"/>
              <w:start w:w="120" w:type="dxa"/>
              <w:bottom w:w="100" w:type="dxa"/>
              <w:end w:w="120" w:type="dxa"/>
            </w:tcMar>
          </w:tcPr>
          <w:p>
            <w:pPr>
              <w:spacing w:after="0" w:line="247" w:lineRule="auto"/>
            </w:pPr>
            <w:r>
              <w:rPr>
                <w:color w:val="163342"/>
                <w:sz w:val="18"/>
              </w:rPr>
              <w:t>“The provider supplied a modelled estimate…”</w:t>
            </w:r>
          </w:p>
        </w:tc>
      </w:tr>
      <w:tr>
        <w:tc>
          <w:tcPr>
            <w:tcW w:type="dxa" w:w="2600"/>
            <w:vAlign w:val="center"/>
            <w:tcMar>
              <w:top w:w="100" w:type="dxa"/>
              <w:start w:w="120" w:type="dxa"/>
              <w:bottom w:w="100" w:type="dxa"/>
              <w:end w:w="120" w:type="dxa"/>
            </w:tcMar>
          </w:tcPr>
          <w:p>
            <w:pPr>
              <w:spacing w:after="0" w:line="247" w:lineRule="auto"/>
            </w:pPr>
            <w:r>
              <w:rPr>
                <w:color w:val="163342"/>
                <w:sz w:val="18"/>
              </w:rPr>
              <w:t>Insufficient evidence</w:t>
            </w:r>
          </w:p>
        </w:tc>
        <w:tc>
          <w:tcPr>
            <w:tcW w:type="dxa" w:w="6760"/>
            <w:vAlign w:val="center"/>
            <w:tcMar>
              <w:top w:w="100" w:type="dxa"/>
              <w:start w:w="120" w:type="dxa"/>
              <w:bottom w:w="100" w:type="dxa"/>
              <w:end w:w="120" w:type="dxa"/>
            </w:tcMar>
          </w:tcPr>
          <w:p>
            <w:pPr>
              <w:spacing w:after="0" w:line="247" w:lineRule="auto"/>
            </w:pPr>
            <w:r>
              <w:rPr>
                <w:color w:val="163342"/>
                <w:sz w:val="18"/>
              </w:rPr>
              <w:t>“There is not enough reliable evidence to determine…”</w:t>
            </w:r>
          </w:p>
        </w:tc>
      </w:tr>
    </w:tbl>
    <w:p>
      <w:pPr>
        <w:spacing w:after="20"/>
      </w:pPr>
    </w:p>
    <w:p>
      <w:pPr>
        <w:pStyle w:val="Heading2"/>
        <w:keepNext/>
      </w:pPr>
      <w:r>
        <w:t>7.6 Trust and confidence</w:t>
      </w:r>
    </w:p>
    <w:p>
      <w:r>
        <w:t>Recommendation confidence and experiment evidence strength are separate fields. The report explains concrete reasons such as verified exposure, source agreement, sample sufficiency, data freshness, CRM maturity and known limitations. Never label a statistical result as “AI confidence.”</w:t>
      </w:r>
    </w:p>
    <w:p>
      <w:pPr>
        <w:pStyle w:val="Heading1"/>
        <w:keepNext/>
      </w:pPr>
      <w:r>
        <w:t>8. Report Generation Lifecycle</w:t>
      </w:r>
    </w:p>
    <w:p>
      <w:pPr>
        <w:jc w:val="center"/>
      </w:pPr>
      <w:r>
        <w:drawing>
          <wp:inline xmlns:a="http://schemas.openxmlformats.org/drawingml/2006/main" xmlns:pic="http://schemas.openxmlformats.org/drawingml/2006/picture">
            <wp:extent cx="5806440" cy="2333198"/>
            <wp:docPr id="2" name="Picture 2" title="Figure 2 — Official report lifecycle" descr="A report request selects scope, validates data and permissions, composes a draft snapshot, optionally receives Agency review, finalizes and exports, and preserves revision history."/>
            <wp:cNvGraphicFramePr>
              <a:graphicFrameLocks noChangeAspect="1"/>
            </wp:cNvGraphicFramePr>
            <a:graphic>
              <a:graphicData uri="http://schemas.openxmlformats.org/drawingml/2006/picture">
                <pic:pic>
                  <pic:nvPicPr>
                    <pic:cNvPr id="0" name="report_lifecycle.png"/>
                    <pic:cNvPicPr/>
                  </pic:nvPicPr>
                  <pic:blipFill>
                    <a:blip r:embed="rId12"/>
                    <a:stretch>
                      <a:fillRect/>
                    </a:stretch>
                  </pic:blipFill>
                  <pic:spPr>
                    <a:xfrm>
                      <a:off x="0" y="0"/>
                      <a:ext cx="5806440" cy="2333198"/>
                    </a:xfrm>
                    <a:prstGeom prst="rect"/>
                  </pic:spPr>
                </pic:pic>
              </a:graphicData>
            </a:graphic>
          </wp:inline>
        </w:drawing>
      </w:r>
    </w:p>
    <w:p>
      <w:pPr>
        <w:spacing w:before="40" w:after="160"/>
        <w:jc w:val="center"/>
      </w:pPr>
      <w:r>
        <w:rPr>
          <w:i/>
          <w:color w:val="5E6B78"/>
          <w:sz w:val="17"/>
        </w:rPr>
        <w:t>Figure 2 — Official report lifecycle</w:t>
      </w:r>
    </w:p>
    <w:p>
      <w:pPr>
        <w:pStyle w:val="Heading2"/>
        <w:keepNext/>
      </w:pPr>
      <w:r>
        <w:t>8.1 Lifecycle states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1800"/>
        <w:gridCol w:w="4200"/>
        <w:gridCol w:w="3360"/>
      </w:tblGrid>
      <w:tr>
        <w:trPr>
          <w:tblHeader w:val="true"/>
        </w:trPr>
        <w:tc>
          <w:tcPr>
            <w:tcW w:type="dxa" w:w="1800"/>
            <w:shd w:fill="EAF2F8"/>
            <w:vAlign w:val="center"/>
            <w:tcMar>
              <w:top w:w="100" w:type="dxa"/>
              <w:start w:w="120" w:type="dxa"/>
              <w:bottom w:w="100" w:type="dxa"/>
              <w:end w:w="120" w:type="dxa"/>
            </w:tcMar>
          </w:tcPr>
          <w:p>
            <w:r>
              <w:rPr>
                <w:b/>
                <w:color w:val="10243E"/>
                <w:sz w:val="17"/>
              </w:rPr>
              <w:t>State</w:t>
            </w:r>
          </w:p>
        </w:tc>
        <w:tc>
          <w:tcPr>
            <w:tcW w:type="dxa" w:w="4200"/>
            <w:shd w:fill="EAF2F8"/>
            <w:vAlign w:val="center"/>
            <w:tcMar>
              <w:top w:w="100" w:type="dxa"/>
              <w:start w:w="120" w:type="dxa"/>
              <w:bottom w:w="100" w:type="dxa"/>
              <w:end w:w="120" w:type="dxa"/>
            </w:tcMar>
          </w:tcPr>
          <w:p>
            <w:r>
              <w:rPr>
                <w:b/>
                <w:color w:val="10243E"/>
                <w:sz w:val="17"/>
              </w:rPr>
              <w:t>Meaning</w:t>
            </w:r>
          </w:p>
        </w:tc>
        <w:tc>
          <w:tcPr>
            <w:tcW w:type="dxa" w:w="3360"/>
            <w:shd w:fill="EAF2F8"/>
            <w:vAlign w:val="center"/>
            <w:tcMar>
              <w:top w:w="100" w:type="dxa"/>
              <w:start w:w="120" w:type="dxa"/>
              <w:bottom w:w="100" w:type="dxa"/>
              <w:end w:w="120" w:type="dxa"/>
            </w:tcMar>
          </w:tcPr>
          <w:p>
            <w:r>
              <w:rPr>
                <w:b/>
                <w:color w:val="10243E"/>
                <w:sz w:val="17"/>
              </w:rPr>
              <w:t>Allowed next states</w:t>
            </w:r>
          </w:p>
        </w:tc>
      </w:tr>
      <w:tr>
        <w:tc>
          <w:tcPr>
            <w:tcW w:type="dxa" w:w="1800"/>
            <w:vAlign w:val="center"/>
            <w:tcMar>
              <w:top w:w="100" w:type="dxa"/>
              <w:start w:w="120" w:type="dxa"/>
              <w:bottom w:w="100" w:type="dxa"/>
              <w:end w:w="120" w:type="dxa"/>
            </w:tcMar>
          </w:tcPr>
          <w:p>
            <w:pPr>
              <w:spacing w:after="0" w:line="247" w:lineRule="auto"/>
            </w:pPr>
            <w:r>
              <w:rPr>
                <w:color w:val="163342"/>
                <w:sz w:val="17"/>
              </w:rPr>
              <w:t>REQUESTED</w:t>
            </w:r>
          </w:p>
        </w:tc>
        <w:tc>
          <w:tcPr>
            <w:tcW w:type="dxa" w:w="4200"/>
            <w:vAlign w:val="center"/>
            <w:tcMar>
              <w:top w:w="100" w:type="dxa"/>
              <w:start w:w="120" w:type="dxa"/>
              <w:bottom w:w="100" w:type="dxa"/>
              <w:end w:w="120" w:type="dxa"/>
            </w:tcMar>
          </w:tcPr>
          <w:p>
            <w:pPr>
              <w:spacing w:after="0" w:line="247" w:lineRule="auto"/>
            </w:pPr>
            <w:r>
              <w:rPr>
                <w:color w:val="163342"/>
                <w:sz w:val="17"/>
              </w:rPr>
              <w:t>Generation accepted; operation created.</w:t>
            </w:r>
          </w:p>
        </w:tc>
        <w:tc>
          <w:tcPr>
            <w:tcW w:type="dxa" w:w="3360"/>
            <w:vAlign w:val="center"/>
            <w:tcMar>
              <w:top w:w="100" w:type="dxa"/>
              <w:start w:w="120" w:type="dxa"/>
              <w:bottom w:w="100" w:type="dxa"/>
              <w:end w:w="120" w:type="dxa"/>
            </w:tcMar>
          </w:tcPr>
          <w:p>
            <w:pPr>
              <w:spacing w:after="0" w:line="247" w:lineRule="auto"/>
            </w:pPr>
            <w:r>
              <w:rPr>
                <w:color w:val="163342"/>
                <w:sz w:val="17"/>
              </w:rPr>
              <w:t>VALIDATING, FAILED</w:t>
            </w:r>
          </w:p>
        </w:tc>
      </w:tr>
      <w:tr>
        <w:tc>
          <w:tcPr>
            <w:tcW w:type="dxa" w:w="1800"/>
            <w:vAlign w:val="center"/>
            <w:tcMar>
              <w:top w:w="100" w:type="dxa"/>
              <w:start w:w="120" w:type="dxa"/>
              <w:bottom w:w="100" w:type="dxa"/>
              <w:end w:w="120" w:type="dxa"/>
            </w:tcMar>
          </w:tcPr>
          <w:p>
            <w:pPr>
              <w:spacing w:after="0" w:line="247" w:lineRule="auto"/>
            </w:pPr>
            <w:r>
              <w:rPr>
                <w:color w:val="163342"/>
                <w:sz w:val="17"/>
              </w:rPr>
              <w:t>VALIDATING</w:t>
            </w:r>
          </w:p>
        </w:tc>
        <w:tc>
          <w:tcPr>
            <w:tcW w:type="dxa" w:w="4200"/>
            <w:vAlign w:val="center"/>
            <w:tcMar>
              <w:top w:w="100" w:type="dxa"/>
              <w:start w:w="120" w:type="dxa"/>
              <w:bottom w:w="100" w:type="dxa"/>
              <w:end w:w="120" w:type="dxa"/>
            </w:tcMar>
          </w:tcPr>
          <w:p>
            <w:pPr>
              <w:spacing w:after="0" w:line="247" w:lineRule="auto"/>
            </w:pPr>
            <w:r>
              <w:rPr>
                <w:color w:val="163342"/>
                <w:sz w:val="17"/>
              </w:rPr>
              <w:t>Permissions, scope, data readiness and period are checked.</w:t>
            </w:r>
          </w:p>
        </w:tc>
        <w:tc>
          <w:tcPr>
            <w:tcW w:type="dxa" w:w="3360"/>
            <w:vAlign w:val="center"/>
            <w:tcMar>
              <w:top w:w="100" w:type="dxa"/>
              <w:start w:w="120" w:type="dxa"/>
              <w:bottom w:w="100" w:type="dxa"/>
              <w:end w:w="120" w:type="dxa"/>
            </w:tcMar>
          </w:tcPr>
          <w:p>
            <w:pPr>
              <w:spacing w:after="0" w:line="247" w:lineRule="auto"/>
            </w:pPr>
            <w:r>
              <w:rPr>
                <w:color w:val="163342"/>
                <w:sz w:val="17"/>
              </w:rPr>
              <w:t>COMPOSING, LIMITED, FAILED</w:t>
            </w:r>
          </w:p>
        </w:tc>
      </w:tr>
      <w:tr>
        <w:tc>
          <w:tcPr>
            <w:tcW w:type="dxa" w:w="1800"/>
            <w:vAlign w:val="center"/>
            <w:tcMar>
              <w:top w:w="100" w:type="dxa"/>
              <w:start w:w="120" w:type="dxa"/>
              <w:bottom w:w="100" w:type="dxa"/>
              <w:end w:w="120" w:type="dxa"/>
            </w:tcMar>
          </w:tcPr>
          <w:p>
            <w:pPr>
              <w:spacing w:after="0" w:line="247" w:lineRule="auto"/>
            </w:pPr>
            <w:r>
              <w:rPr>
                <w:color w:val="163342"/>
                <w:sz w:val="17"/>
              </w:rPr>
              <w:t>COMPOSING</w:t>
            </w:r>
          </w:p>
        </w:tc>
        <w:tc>
          <w:tcPr>
            <w:tcW w:type="dxa" w:w="4200"/>
            <w:vAlign w:val="center"/>
            <w:tcMar>
              <w:top w:w="100" w:type="dxa"/>
              <w:start w:w="120" w:type="dxa"/>
              <w:bottom w:w="100" w:type="dxa"/>
              <w:end w:w="120" w:type="dxa"/>
            </w:tcMar>
          </w:tcPr>
          <w:p>
            <w:pPr>
              <w:spacing w:after="0" w:line="247" w:lineRule="auto"/>
            </w:pPr>
            <w:r>
              <w:rPr>
                <w:color w:val="163342"/>
                <w:sz w:val="17"/>
              </w:rPr>
              <w:t>Structured snapshot and narrative are being created.</w:t>
            </w:r>
          </w:p>
        </w:tc>
        <w:tc>
          <w:tcPr>
            <w:tcW w:type="dxa" w:w="3360"/>
            <w:vAlign w:val="center"/>
            <w:tcMar>
              <w:top w:w="100" w:type="dxa"/>
              <w:start w:w="120" w:type="dxa"/>
              <w:bottom w:w="100" w:type="dxa"/>
              <w:end w:w="120" w:type="dxa"/>
            </w:tcMar>
          </w:tcPr>
          <w:p>
            <w:pPr>
              <w:spacing w:after="0" w:line="247" w:lineRule="auto"/>
            </w:pPr>
            <w:r>
              <w:rPr>
                <w:color w:val="163342"/>
                <w:sz w:val="17"/>
              </w:rPr>
              <w:t>READY, LIMITED, FAILED</w:t>
            </w:r>
          </w:p>
        </w:tc>
      </w:tr>
      <w:tr>
        <w:tc>
          <w:tcPr>
            <w:tcW w:type="dxa" w:w="1800"/>
            <w:vAlign w:val="center"/>
            <w:tcMar>
              <w:top w:w="100" w:type="dxa"/>
              <w:start w:w="120" w:type="dxa"/>
              <w:bottom w:w="100" w:type="dxa"/>
              <w:end w:w="120" w:type="dxa"/>
            </w:tcMar>
          </w:tcPr>
          <w:p>
            <w:pPr>
              <w:spacing w:after="0" w:line="247" w:lineRule="auto"/>
            </w:pPr>
            <w:r>
              <w:rPr>
                <w:color w:val="163342"/>
                <w:sz w:val="17"/>
              </w:rPr>
              <w:t>READY</w:t>
            </w:r>
          </w:p>
        </w:tc>
        <w:tc>
          <w:tcPr>
            <w:tcW w:type="dxa" w:w="4200"/>
            <w:vAlign w:val="center"/>
            <w:tcMar>
              <w:top w:w="100" w:type="dxa"/>
              <w:start w:w="120" w:type="dxa"/>
              <w:bottom w:w="100" w:type="dxa"/>
              <w:end w:w="120" w:type="dxa"/>
            </w:tcMar>
          </w:tcPr>
          <w:p>
            <w:pPr>
              <w:spacing w:after="0" w:line="247" w:lineRule="auto"/>
            </w:pPr>
            <w:r>
              <w:rPr>
                <w:color w:val="163342"/>
                <w:sz w:val="17"/>
              </w:rPr>
              <w:t>Non-Agency report is final, or Agency draft is ready for review.</w:t>
            </w:r>
          </w:p>
        </w:tc>
        <w:tc>
          <w:tcPr>
            <w:tcW w:type="dxa" w:w="3360"/>
            <w:vAlign w:val="center"/>
            <w:tcMar>
              <w:top w:w="100" w:type="dxa"/>
              <w:start w:w="120" w:type="dxa"/>
              <w:bottom w:w="100" w:type="dxa"/>
              <w:end w:w="120" w:type="dxa"/>
            </w:tcMar>
          </w:tcPr>
          <w:p>
            <w:pPr>
              <w:spacing w:after="0" w:line="247" w:lineRule="auto"/>
            </w:pPr>
            <w:r>
              <w:rPr>
                <w:color w:val="163342"/>
                <w:sz w:val="17"/>
              </w:rPr>
              <w:t>IN_REVIEW, FINALIZED, SUPERSEDED</w:t>
            </w:r>
          </w:p>
        </w:tc>
      </w:tr>
      <w:tr>
        <w:tc>
          <w:tcPr>
            <w:tcW w:type="dxa" w:w="1800"/>
            <w:vAlign w:val="center"/>
            <w:tcMar>
              <w:top w:w="100" w:type="dxa"/>
              <w:start w:w="120" w:type="dxa"/>
              <w:bottom w:w="100" w:type="dxa"/>
              <w:end w:w="120" w:type="dxa"/>
            </w:tcMar>
          </w:tcPr>
          <w:p>
            <w:pPr>
              <w:spacing w:after="0" w:line="247" w:lineRule="auto"/>
            </w:pPr>
            <w:r>
              <w:rPr>
                <w:color w:val="163342"/>
                <w:sz w:val="17"/>
              </w:rPr>
              <w:t>IN_REVIEW</w:t>
            </w:r>
          </w:p>
        </w:tc>
        <w:tc>
          <w:tcPr>
            <w:tcW w:type="dxa" w:w="4200"/>
            <w:vAlign w:val="center"/>
            <w:tcMar>
              <w:top w:w="100" w:type="dxa"/>
              <w:start w:w="120" w:type="dxa"/>
              <w:bottom w:w="100" w:type="dxa"/>
              <w:end w:w="120" w:type="dxa"/>
            </w:tcMar>
          </w:tcPr>
          <w:p>
            <w:pPr>
              <w:spacing w:after="0" w:line="247" w:lineRule="auto"/>
            </w:pPr>
            <w:r>
              <w:rPr>
                <w:color w:val="163342"/>
                <w:sz w:val="17"/>
              </w:rPr>
              <w:t>Agency staff can edit permitted presentation fields.</w:t>
            </w:r>
          </w:p>
        </w:tc>
        <w:tc>
          <w:tcPr>
            <w:tcW w:type="dxa" w:w="3360"/>
            <w:vAlign w:val="center"/>
            <w:tcMar>
              <w:top w:w="100" w:type="dxa"/>
              <w:start w:w="120" w:type="dxa"/>
              <w:bottom w:w="100" w:type="dxa"/>
              <w:end w:w="120" w:type="dxa"/>
            </w:tcMar>
          </w:tcPr>
          <w:p>
            <w:pPr>
              <w:spacing w:after="0" w:line="247" w:lineRule="auto"/>
            </w:pPr>
            <w:r>
              <w:rPr>
                <w:color w:val="163342"/>
                <w:sz w:val="17"/>
              </w:rPr>
              <w:t>FINALIZED, COMPOSING, FAILED</w:t>
            </w:r>
          </w:p>
        </w:tc>
      </w:tr>
      <w:tr>
        <w:tc>
          <w:tcPr>
            <w:tcW w:type="dxa" w:w="1800"/>
            <w:vAlign w:val="center"/>
            <w:tcMar>
              <w:top w:w="100" w:type="dxa"/>
              <w:start w:w="120" w:type="dxa"/>
              <w:bottom w:w="100" w:type="dxa"/>
              <w:end w:w="120" w:type="dxa"/>
            </w:tcMar>
          </w:tcPr>
          <w:p>
            <w:pPr>
              <w:spacing w:after="0" w:line="247" w:lineRule="auto"/>
            </w:pPr>
            <w:r>
              <w:rPr>
                <w:color w:val="163342"/>
                <w:sz w:val="17"/>
              </w:rPr>
              <w:t>FINALIZED</w:t>
            </w:r>
          </w:p>
        </w:tc>
        <w:tc>
          <w:tcPr>
            <w:tcW w:type="dxa" w:w="4200"/>
            <w:vAlign w:val="center"/>
            <w:tcMar>
              <w:top w:w="100" w:type="dxa"/>
              <w:start w:w="120" w:type="dxa"/>
              <w:bottom w:w="100" w:type="dxa"/>
              <w:end w:w="120" w:type="dxa"/>
            </w:tcMar>
          </w:tcPr>
          <w:p>
            <w:pPr>
              <w:spacing w:after="0" w:line="247" w:lineRule="auto"/>
            </w:pPr>
            <w:r>
              <w:rPr>
                <w:color w:val="163342"/>
                <w:sz w:val="17"/>
              </w:rPr>
              <w:t>Immutable official revision available for view/export.</w:t>
            </w:r>
          </w:p>
        </w:tc>
        <w:tc>
          <w:tcPr>
            <w:tcW w:type="dxa" w:w="3360"/>
            <w:vAlign w:val="center"/>
            <w:tcMar>
              <w:top w:w="100" w:type="dxa"/>
              <w:start w:w="120" w:type="dxa"/>
              <w:bottom w:w="100" w:type="dxa"/>
              <w:end w:w="120" w:type="dxa"/>
            </w:tcMar>
          </w:tcPr>
          <w:p>
            <w:pPr>
              <w:spacing w:after="0" w:line="247" w:lineRule="auto"/>
            </w:pPr>
            <w:r>
              <w:rPr>
                <w:color w:val="163342"/>
                <w:sz w:val="17"/>
              </w:rPr>
              <w:t>SUPERSEDED</w:t>
            </w:r>
          </w:p>
        </w:tc>
      </w:tr>
      <w:tr>
        <w:tc>
          <w:tcPr>
            <w:tcW w:type="dxa" w:w="1800"/>
            <w:vAlign w:val="center"/>
            <w:tcMar>
              <w:top w:w="100" w:type="dxa"/>
              <w:start w:w="120" w:type="dxa"/>
              <w:bottom w:w="100" w:type="dxa"/>
              <w:end w:w="120" w:type="dxa"/>
            </w:tcMar>
          </w:tcPr>
          <w:p>
            <w:pPr>
              <w:spacing w:after="0" w:line="247" w:lineRule="auto"/>
            </w:pPr>
            <w:r>
              <w:rPr>
                <w:color w:val="163342"/>
                <w:sz w:val="17"/>
              </w:rPr>
              <w:t>LIMITED</w:t>
            </w:r>
          </w:p>
        </w:tc>
        <w:tc>
          <w:tcPr>
            <w:tcW w:type="dxa" w:w="4200"/>
            <w:vAlign w:val="center"/>
            <w:tcMar>
              <w:top w:w="100" w:type="dxa"/>
              <w:start w:w="120" w:type="dxa"/>
              <w:bottom w:w="100" w:type="dxa"/>
              <w:end w:w="120" w:type="dxa"/>
            </w:tcMar>
          </w:tcPr>
          <w:p>
            <w:pPr>
              <w:spacing w:after="0" w:line="247" w:lineRule="auto"/>
            </w:pPr>
            <w:r>
              <w:rPr>
                <w:color w:val="163342"/>
                <w:sz w:val="17"/>
              </w:rPr>
              <w:t>Report is valid but contains material data limitations.</w:t>
            </w:r>
          </w:p>
        </w:tc>
        <w:tc>
          <w:tcPr>
            <w:tcW w:type="dxa" w:w="3360"/>
            <w:vAlign w:val="center"/>
            <w:tcMar>
              <w:top w:w="100" w:type="dxa"/>
              <w:start w:w="120" w:type="dxa"/>
              <w:bottom w:w="100" w:type="dxa"/>
              <w:end w:w="120" w:type="dxa"/>
            </w:tcMar>
          </w:tcPr>
          <w:p>
            <w:pPr>
              <w:spacing w:after="0" w:line="247" w:lineRule="auto"/>
            </w:pPr>
            <w:r>
              <w:rPr>
                <w:color w:val="163342"/>
                <w:sz w:val="17"/>
              </w:rPr>
              <w:t>READY, IN_REVIEW, FINALIZED, SUPERSEDED</w:t>
            </w:r>
          </w:p>
        </w:tc>
      </w:tr>
      <w:tr>
        <w:tc>
          <w:tcPr>
            <w:tcW w:type="dxa" w:w="1800"/>
            <w:vAlign w:val="center"/>
            <w:tcMar>
              <w:top w:w="100" w:type="dxa"/>
              <w:start w:w="120" w:type="dxa"/>
              <w:bottom w:w="100" w:type="dxa"/>
              <w:end w:w="120" w:type="dxa"/>
            </w:tcMar>
          </w:tcPr>
          <w:p>
            <w:pPr>
              <w:spacing w:after="0" w:line="247" w:lineRule="auto"/>
            </w:pPr>
            <w:r>
              <w:rPr>
                <w:color w:val="163342"/>
                <w:sz w:val="17"/>
              </w:rPr>
              <w:t>FAILED</w:t>
            </w:r>
          </w:p>
        </w:tc>
        <w:tc>
          <w:tcPr>
            <w:tcW w:type="dxa" w:w="4200"/>
            <w:vAlign w:val="center"/>
            <w:tcMar>
              <w:top w:w="100" w:type="dxa"/>
              <w:start w:w="120" w:type="dxa"/>
              <w:bottom w:w="100" w:type="dxa"/>
              <w:end w:w="120" w:type="dxa"/>
            </w:tcMar>
          </w:tcPr>
          <w:p>
            <w:pPr>
              <w:spacing w:after="0" w:line="247" w:lineRule="auto"/>
            </w:pPr>
            <w:r>
              <w:rPr>
                <w:color w:val="163342"/>
                <w:sz w:val="17"/>
              </w:rPr>
              <w:t>No official report created; reason and retry path stored.</w:t>
            </w:r>
          </w:p>
        </w:tc>
        <w:tc>
          <w:tcPr>
            <w:tcW w:type="dxa" w:w="3360"/>
            <w:vAlign w:val="center"/>
            <w:tcMar>
              <w:top w:w="100" w:type="dxa"/>
              <w:start w:w="120" w:type="dxa"/>
              <w:bottom w:w="100" w:type="dxa"/>
              <w:end w:w="120" w:type="dxa"/>
            </w:tcMar>
          </w:tcPr>
          <w:p>
            <w:pPr>
              <w:spacing w:after="0" w:line="247" w:lineRule="auto"/>
            </w:pPr>
            <w:r>
              <w:rPr>
                <w:color w:val="163342"/>
                <w:sz w:val="17"/>
              </w:rPr>
              <w:t>REQUESTED</w:t>
            </w:r>
          </w:p>
        </w:tc>
      </w:tr>
      <w:tr>
        <w:tc>
          <w:tcPr>
            <w:tcW w:type="dxa" w:w="1800"/>
            <w:vAlign w:val="center"/>
            <w:tcMar>
              <w:top w:w="100" w:type="dxa"/>
              <w:start w:w="120" w:type="dxa"/>
              <w:bottom w:w="100" w:type="dxa"/>
              <w:end w:w="120" w:type="dxa"/>
            </w:tcMar>
          </w:tcPr>
          <w:p>
            <w:pPr>
              <w:spacing w:after="0" w:line="247" w:lineRule="auto"/>
            </w:pPr>
            <w:r>
              <w:rPr>
                <w:color w:val="163342"/>
                <w:sz w:val="17"/>
              </w:rPr>
              <w:t>SUPERSEDED</w:t>
            </w:r>
          </w:p>
        </w:tc>
        <w:tc>
          <w:tcPr>
            <w:tcW w:type="dxa" w:w="4200"/>
            <w:vAlign w:val="center"/>
            <w:tcMar>
              <w:top w:w="100" w:type="dxa"/>
              <w:start w:w="120" w:type="dxa"/>
              <w:bottom w:w="100" w:type="dxa"/>
              <w:end w:w="120" w:type="dxa"/>
            </w:tcMar>
          </w:tcPr>
          <w:p>
            <w:pPr>
              <w:spacing w:after="0" w:line="247" w:lineRule="auto"/>
            </w:pPr>
            <w:r>
              <w:rPr>
                <w:color w:val="163342"/>
                <w:sz w:val="17"/>
              </w:rPr>
              <w:t>A newer official revision exists.</w:t>
            </w:r>
          </w:p>
        </w:tc>
        <w:tc>
          <w:tcPr>
            <w:tcW w:type="dxa" w:w="3360"/>
            <w:vAlign w:val="center"/>
            <w:tcMar>
              <w:top w:w="100" w:type="dxa"/>
              <w:start w:w="120" w:type="dxa"/>
              <w:bottom w:w="100" w:type="dxa"/>
              <w:end w:w="120" w:type="dxa"/>
            </w:tcMar>
          </w:tcPr>
          <w:p>
            <w:pPr>
              <w:spacing w:after="0" w:line="247" w:lineRule="auto"/>
            </w:pPr>
            <w:r>
              <w:rPr>
                <w:color w:val="163342"/>
                <w:sz w:val="17"/>
              </w:rPr>
              <w:t>None; remains viewable</w:t>
            </w:r>
          </w:p>
        </w:tc>
      </w:tr>
    </w:tbl>
    <w:p>
      <w:pPr>
        <w:spacing w:after="20"/>
      </w:pPr>
    </w:p>
    <w:p>
      <w:pPr>
        <w:pStyle w:val="Heading2"/>
        <w:keepNext/>
      </w:pPr>
      <w:r>
        <w:t>8.2 Generation steps</w:t>
      </w:r>
    </w:p>
    <w:p>
      <w:pPr>
        <w:pStyle w:val="ListNumber"/>
      </w:pPr>
      <w:r>
        <w:t>Receive report request with actor, workspace/project/client scope, period, timezone and idempotency key.</w:t>
      </w:r>
    </w:p>
    <w:p>
      <w:pPr>
        <w:pStyle w:val="ListNumber"/>
      </w:pPr>
      <w:r>
        <w:t>Authorize the actor and confirm reporting entitlements.</w:t>
      </w:r>
    </w:p>
    <w:p>
      <w:pPr>
        <w:pStyle w:val="ListNumber"/>
      </w:pPr>
      <w:r>
        <w:t>Resolve a closed-open UTC window from the workspace timezone and store the original local dates.</w:t>
      </w:r>
    </w:p>
    <w:p>
      <w:pPr>
        <w:pStyle w:val="ListNumber"/>
      </w:pPr>
      <w:r>
        <w:t>Resolve source watermarks, compatible comparison period and active versions.</w:t>
      </w:r>
    </w:p>
    <w:p>
      <w:pPr>
        <w:pStyle w:val="ListNumber"/>
      </w:pPr>
      <w:r>
        <w:t>Load verified work, metrics, evaluations, findings, limitations, Growth Blueprint change and Next Best Action.</w:t>
      </w:r>
    </w:p>
    <w:p>
      <w:pPr>
        <w:pStyle w:val="ListNumber"/>
      </w:pPr>
      <w:r>
        <w:t>Run deterministic metric and finding selection.</w:t>
      </w:r>
    </w:p>
    <w:p>
      <w:pPr>
        <w:pStyle w:val="ListNumber"/>
      </w:pPr>
      <w:r>
        <w:t>Create a content-addressed structured snapshot candidate.</w:t>
      </w:r>
    </w:p>
    <w:p>
      <w:pPr>
        <w:pStyle w:val="ListNumber"/>
      </w:pPr>
      <w:r>
        <w:t>Call the AI Orchestrator only for the bounded ReportNarrative schema.</w:t>
      </w:r>
    </w:p>
    <w:p>
      <w:pPr>
        <w:pStyle w:val="ListNumber"/>
      </w:pPr>
      <w:r>
        <w:t>Validate numbers, evidence references, causal wording, privacy, scope and plain language.</w:t>
      </w:r>
    </w:p>
    <w:p>
      <w:pPr>
        <w:pStyle w:val="ListNumber"/>
      </w:pPr>
      <w:r>
        <w:t>Persist the report revision. Non-Agency reports may finalize immediately; Agency client reports enter review.</w:t>
      </w:r>
    </w:p>
    <w:p>
      <w:pPr>
        <w:pStyle w:val="ListNumber"/>
      </w:pPr>
      <w:r>
        <w:t>Build read models and emit GrowthReportCreated or GrowthReportRevised.</w:t>
      </w:r>
    </w:p>
    <w:p>
      <w:pPr>
        <w:pStyle w:val="Heading2"/>
        <w:keepNext/>
      </w:pPr>
      <w:r>
        <w:t>8.3 Idempotency</w:t>
      </w:r>
    </w:p>
    <w:p>
      <w:r>
        <w:t>The uniqueness key is workspace_id + project_id + client_id/null + local_period_start + local_period_end + snapshot_source_fingerprint + request_mode. Repeating the same request returns the existing operation/report unless the caller explicitly requests a new revision after a source or presentation change.</w:t>
      </w:r>
    </w:p>
    <w:p>
      <w:pPr>
        <w:pStyle w:val="Heading2"/>
        <w:keepNext/>
      </w:pPr>
      <w:r>
        <w:t>8.4 Report period rules</w:t>
      </w:r>
    </w:p>
    <w:p>
      <w:pPr>
        <w:pStyle w:val="ListBullet"/>
      </w:pPr>
      <w:r>
        <w:t>Store the workspace timezone used to interpret the dates.</w:t>
      </w:r>
    </w:p>
    <w:p>
      <w:pPr>
        <w:pStyle w:val="ListBullet"/>
      </w:pPr>
      <w:r>
        <w:t>Use half-open UTC windows [start, end) to avoid duplicate boundary events.</w:t>
      </w:r>
    </w:p>
    <w:p>
      <w:pPr>
        <w:pStyle w:val="ListBullet"/>
      </w:pPr>
      <w:r>
        <w:t>Default to the previous complete calendar month for a monthly report.</w:t>
      </w:r>
    </w:p>
    <w:p>
      <w:pPr>
        <w:pStyle w:val="ListBullet"/>
      </w:pPr>
      <w:r>
        <w:t>Last 30 days is rolling and must be labelled as such.</w:t>
      </w:r>
    </w:p>
    <w:p>
      <w:pPr>
        <w:pStyle w:val="ListBullet"/>
      </w:pPr>
      <w:r>
        <w:t>Custom dates cannot exceed configured retention or query policy.</w:t>
      </w:r>
    </w:p>
    <w:p>
      <w:pPr>
        <w:pStyle w:val="ListBullet"/>
      </w:pPr>
      <w:r>
        <w:t>An active experiment may be shown as Running but cannot be declared a winner before its evaluation policy completes.</w:t>
      </w:r>
    </w:p>
    <w:p>
      <w:pPr>
        <w:pStyle w:val="Heading1"/>
        <w:keepNext/>
      </w:pPr>
      <w:r>
        <w:t>9. AI Narrative Generation</w:t>
      </w:r>
    </w:p>
    <w:p>
      <w:r>
        <w:t>AI is used only to explain a bounded, structured snapshot in plain language. It does not query providers, calculate metrics, choose the Next Best Action or decide which evidence to hide.</w:t>
      </w:r>
    </w:p>
    <w:p>
      <w:pPr>
        <w:pStyle w:val="Heading2"/>
        <w:keepNext/>
      </w:pPr>
      <w:r>
        <w:t>9.1 AI input bundle</w:t>
      </w:r>
    </w:p>
    <w:p>
      <w:pPr>
        <w:pStyle w:val="ListBullet"/>
      </w:pPr>
      <w:r>
        <w:t>Business name, industry and approved plain-language vocabulary from the Business Brain.</w:t>
      </w:r>
    </w:p>
    <w:p>
      <w:pPr>
        <w:pStyle w:val="ListBullet"/>
      </w:pPr>
      <w:r>
        <w:t>Reporting period, timezone and comparison label.</w:t>
      </w:r>
    </w:p>
    <w:p>
      <w:pPr>
        <w:pStyle w:val="ListBullet"/>
      </w:pPr>
      <w:r>
        <w:t>Selected metric records with display values, states and evidence references.</w:t>
      </w:r>
    </w:p>
    <w:p>
      <w:pPr>
        <w:pStyle w:val="ListBullet"/>
      </w:pPr>
      <w:r>
        <w:t>Verified work items and statuses.</w:t>
      </w:r>
    </w:p>
    <w:p>
      <w:pPr>
        <w:pStyle w:val="ListBullet"/>
      </w:pPr>
      <w:r>
        <w:t>Selected wins, problems/opportunities and limitations.</w:t>
      </w:r>
    </w:p>
    <w:p>
      <w:pPr>
        <w:pStyle w:val="ListBullet"/>
      </w:pPr>
      <w:r>
        <w:t>Authoritative NextBestActionDecision and approval state.</w:t>
      </w:r>
    </w:p>
    <w:p>
      <w:pPr>
        <w:pStyle w:val="ListBullet"/>
      </w:pPr>
      <w:r>
        <w:t>Allowed causal-language mode for each claim.</w:t>
      </w:r>
    </w:p>
    <w:p>
      <w:pPr>
        <w:pStyle w:val="ListBullet"/>
      </w:pPr>
      <w:r>
        <w:t>Audience mode: owner, business team or Agency client.</w:t>
      </w:r>
    </w:p>
    <w:p>
      <w:pPr>
        <w:pStyle w:val="ListBullet"/>
      </w:pPr>
      <w:r>
        <w:t>Agency brand voice settings when applicable; branding may affect tone, never facts.</w:t>
      </w:r>
    </w:p>
    <w:p>
      <w:pPr>
        <w:pStyle w:val="Heading2"/>
        <w:keepNext/>
      </w:pPr>
      <w:r>
        <w:t>9.2 Required output schema</w:t>
      </w:r>
    </w:p>
    <w:p>
      <w:pPr>
        <w:pStyle w:val="CodeBlock"/>
        <w:shd w:fill="F1F4F7"/>
        <w:pBdr>
          <w:top w:val="single" w:sz="5" w:space="4" w:color="D6DEE6"/>
          <w:left w:val="single" w:sz="5" w:space="4" w:color="D6DEE6"/>
          <w:bottom w:val="single" w:sz="5" w:space="4" w:color="D6DEE6"/>
          <w:right w:val="single" w:sz="5" w:space="4" w:color="D6DEE6"/>
        </w:pBdr>
      </w:pPr>
      <w:r>
        <w:t>{</w:t>
      </w:r>
      <w:r>
        <w:br/>
      </w:r>
      <w:r>
        <w:t xml:space="preserve">  "schema_version": "report-narrative.v1",</w:t>
      </w:r>
      <w:r>
        <w:br/>
      </w:r>
      <w:r>
        <w:t xml:space="preserve">  "summary": "string, 3-6 sentences",</w:t>
      </w:r>
      <w:r>
        <w:br/>
      </w:r>
      <w:r>
        <w:t xml:space="preserve">  "wins": [</w:t>
      </w:r>
      <w:r>
        <w:br/>
      </w:r>
      <w:r>
        <w:t xml:space="preserve">    {"text": "string", "evidence_ids": ["ev_..."]}</w:t>
      </w:r>
      <w:r>
        <w:br/>
      </w:r>
      <w:r>
        <w:t xml:space="preserve">  ],</w:t>
      </w:r>
      <w:r>
        <w:br/>
      </w:r>
      <w:r>
        <w:t xml:space="preserve">  "problems_or_opportunities": [</w:t>
      </w:r>
      <w:r>
        <w:br/>
      </w:r>
      <w:r>
        <w:t xml:space="preserve">    {"text": "string", "evidence_ids": ["ev_..."], "limitation_ids": []}</w:t>
      </w:r>
      <w:r>
        <w:br/>
      </w:r>
      <w:r>
        <w:t xml:space="preserve">  ],</w:t>
      </w:r>
      <w:r>
        <w:br/>
      </w:r>
      <w:r>
        <w:t xml:space="preserve">  "next_best_action_explanation": "string",</w:t>
      </w:r>
      <w:r>
        <w:br/>
      </w:r>
      <w:r>
        <w:t xml:space="preserve">  "confidence_explanation": "string",</w:t>
      </w:r>
      <w:r>
        <w:br/>
      </w:r>
      <w:r>
        <w:t xml:space="preserve">  "limitations_summary": "string|null",</w:t>
      </w:r>
      <w:r>
        <w:br/>
      </w:r>
      <w:r>
        <w:t xml:space="preserve">  "numeric_claims": [</w:t>
      </w:r>
      <w:r>
        <w:br/>
      </w:r>
      <w:r>
        <w:t xml:space="preserve">    {"metric_id": "met_...", "rendered_value": "23", "sentence_path": "summary"}</w:t>
      </w:r>
      <w:r>
        <w:br/>
      </w:r>
      <w:r>
        <w:t xml:space="preserve">  ]</w:t>
      </w:r>
      <w:r>
        <w:br/>
      </w:r>
      <w:r>
        <w:t>}</w:t>
      </w:r>
    </w:p>
    <w:p>
      <w:pPr>
        <w:pStyle w:val="Heading2"/>
        <w:keepNext/>
      </w:pPr>
      <w:r>
        <w:t>9.3 Narrative validation</w:t>
      </w:r>
    </w:p>
    <w:p>
      <w:pPr>
        <w:pStyle w:val="ListNumber"/>
      </w:pPr>
      <w:r>
        <w:t>Validate JSON/schema and maximum lengths.</w:t>
      </w:r>
    </w:p>
    <w:p>
      <w:pPr>
        <w:pStyle w:val="ListNumber"/>
      </w:pPr>
      <w:r>
        <w:t>Confirm every evidence_id and metric_id is present in the supplied snapshot.</w:t>
      </w:r>
    </w:p>
    <w:p>
      <w:pPr>
        <w:pStyle w:val="ListNumber"/>
      </w:pPr>
      <w:r>
        <w:t>Compare every numeric claim with the authoritative rendered value and unit.</w:t>
      </w:r>
    </w:p>
    <w:p>
      <w:pPr>
        <w:pStyle w:val="ListNumber"/>
      </w:pPr>
      <w:r>
        <w:t>Run causal-language rules using the claim’s evidence design.</w:t>
      </w:r>
    </w:p>
    <w:p>
      <w:pPr>
        <w:pStyle w:val="ListNumber"/>
      </w:pPr>
      <w:r>
        <w:t>Block unsupported certainty, guarantees, invented credentials, sensitive data and cross-scope references.</w:t>
      </w:r>
    </w:p>
    <w:p>
      <w:pPr>
        <w:pStyle w:val="ListNumber"/>
      </w:pPr>
      <w:r>
        <w:t>Confirm the named Next Best Action matches the supplied decision ID.</w:t>
      </w:r>
    </w:p>
    <w:p>
      <w:pPr>
        <w:pStyle w:val="ListNumber"/>
      </w:pPr>
      <w:r>
        <w:t>Apply plain-language and reading-level checks; define necessary technical terms.</w:t>
      </w:r>
    </w:p>
    <w:p>
      <w:pPr>
        <w:pStyle w:val="ListNumber"/>
      </w:pPr>
      <w:r>
        <w:t>Attempt one bounded repair with validation errors. If repair fails, use deterministic fallback text and flag the report for review where required.</w:t>
      </w:r>
    </w:p>
    <w:p>
      <w:pPr>
        <w:pStyle w:val="Heading2"/>
        <w:keepNext/>
      </w:pPr>
      <w:r>
        <w:t>9.4 Deterministic fallback</w:t>
      </w:r>
    </w:p>
    <w:p>
      <w:r>
        <w:t>The system must be able to generate a factual report without AI. The fallback concatenates reviewed templates using structured values, for example:</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Fallback example  </w:t>
      </w:r>
      <w:r>
        <w:t>During July, qualified leads changed from 17 to 23. Three verified website changes were completed. Mobile form completion remains below the expected range. The current Next Best Action is “Simplify the mobile quote form.” Evidence is limited because revenue data is not connected.</w:t>
      </w:r>
    </w:p>
    <w:p>
      <w:pPr>
        <w:pStyle w:val="Heading2"/>
        <w:keepNext/>
      </w:pPr>
      <w:r>
        <w:t>9.5 AI Capacity</w:t>
      </w:r>
    </w:p>
    <w:p>
      <w:r>
        <w:t>Reuse an existing valid narrative when the snapshot fingerprint, audience mode and narrative schema are unchanged. Capacity-bearing generation is quoted, reserved, settled or released through the Capacity Engine. PDF re-rendering does not consume AI Capacity because it uses the saved narrative.</w:t>
      </w:r>
    </w:p>
    <w:p>
      <w:pPr>
        <w:pStyle w:val="Heading1"/>
        <w:keepNext/>
      </w:pPr>
      <w:r>
        <w:t>10. Agency Portfolio and Client Reporting</w:t>
      </w:r>
    </w:p>
    <w:p>
      <w:pPr>
        <w:jc w:val="center"/>
      </w:pPr>
      <w:r>
        <w:drawing>
          <wp:inline xmlns:a="http://schemas.openxmlformats.org/drawingml/2006/main" xmlns:pic="http://schemas.openxmlformats.org/drawingml/2006/picture">
            <wp:extent cx="5806440" cy="2255306"/>
            <wp:docPr id="3" name="Picture 3" title="Figure 3 — Agency client isolation" descr="An Agency workspace may show internal portfolio status across authorized clients, while every client report and Client Viewer remains bound to one client scope."/>
            <wp:cNvGraphicFramePr>
              <a:graphicFrameLocks noChangeAspect="1"/>
            </wp:cNvGraphicFramePr>
            <a:graphic>
              <a:graphicData uri="http://schemas.openxmlformats.org/drawingml/2006/picture">
                <pic:pic>
                  <pic:nvPicPr>
                    <pic:cNvPr id="0" name="agency_isolation.png"/>
                    <pic:cNvPicPr/>
                  </pic:nvPicPr>
                  <pic:blipFill>
                    <a:blip r:embed="rId13"/>
                    <a:stretch>
                      <a:fillRect/>
                    </a:stretch>
                  </pic:blipFill>
                  <pic:spPr>
                    <a:xfrm>
                      <a:off x="0" y="0"/>
                      <a:ext cx="5806440" cy="2255306"/>
                    </a:xfrm>
                    <a:prstGeom prst="rect"/>
                  </pic:spPr>
                </pic:pic>
              </a:graphicData>
            </a:graphic>
          </wp:inline>
        </w:drawing>
      </w:r>
    </w:p>
    <w:p>
      <w:pPr>
        <w:spacing w:before="40" w:after="160"/>
        <w:jc w:val="center"/>
      </w:pPr>
      <w:r>
        <w:rPr>
          <w:i/>
          <w:color w:val="5E6B78"/>
          <w:sz w:val="17"/>
        </w:rPr>
        <w:t>Figure 3 — Agency client isolation</w:t>
      </w:r>
    </w:p>
    <w:p>
      <w:pPr>
        <w:pStyle w:val="Heading2"/>
        <w:keepNext/>
      </w:pPr>
      <w:r>
        <w:t>10.1 Agency Portfolio purpose</w:t>
      </w:r>
    </w:p>
    <w:p>
      <w:r>
        <w:t>The portfolio is an internal operational list, not a report builder. It helps Agency staff identify which clients need attention. It uses precomputed client-scoped read models and displays one row per authorized client.</w:t>
      </w:r>
    </w:p>
    <w:p>
      <w:pPr>
        <w:pStyle w:val="Heading2"/>
        <w:keepNext/>
      </w:pPr>
      <w:r>
        <w:t>10.2 Portfolio columns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400"/>
        <w:gridCol w:w="6960"/>
      </w:tblGrid>
      <w:tr>
        <w:trPr>
          <w:tblHeader w:val="true"/>
        </w:trPr>
        <w:tc>
          <w:tcPr>
            <w:tcW w:type="dxa" w:w="2400"/>
            <w:shd w:fill="EAF2F8"/>
            <w:vAlign w:val="center"/>
            <w:tcMar>
              <w:top w:w="100" w:type="dxa"/>
              <w:start w:w="120" w:type="dxa"/>
              <w:bottom w:w="100" w:type="dxa"/>
              <w:end w:w="120" w:type="dxa"/>
            </w:tcMar>
          </w:tcPr>
          <w:p>
            <w:r>
              <w:rPr>
                <w:b/>
                <w:color w:val="10243E"/>
                <w:sz w:val="18"/>
              </w:rPr>
              <w:t>Column</w:t>
            </w:r>
          </w:p>
        </w:tc>
        <w:tc>
          <w:tcPr>
            <w:tcW w:type="dxa" w:w="6960"/>
            <w:shd w:fill="EAF2F8"/>
            <w:vAlign w:val="center"/>
            <w:tcMar>
              <w:top w:w="100" w:type="dxa"/>
              <w:start w:w="120" w:type="dxa"/>
              <w:bottom w:w="100" w:type="dxa"/>
              <w:end w:w="120" w:type="dxa"/>
            </w:tcMar>
          </w:tcPr>
          <w:p>
            <w:r>
              <w:rPr>
                <w:b/>
                <w:color w:val="10243E"/>
                <w:sz w:val="18"/>
              </w:rPr>
              <w:t>Meaning</w:t>
            </w:r>
          </w:p>
        </w:tc>
      </w:tr>
      <w:tr>
        <w:tc>
          <w:tcPr>
            <w:tcW w:type="dxa" w:w="2400"/>
            <w:vAlign w:val="center"/>
            <w:tcMar>
              <w:top w:w="100" w:type="dxa"/>
              <w:start w:w="120" w:type="dxa"/>
              <w:bottom w:w="100" w:type="dxa"/>
              <w:end w:w="120" w:type="dxa"/>
            </w:tcMar>
          </w:tcPr>
          <w:p>
            <w:pPr>
              <w:spacing w:after="0" w:line="247" w:lineRule="auto"/>
            </w:pPr>
            <w:r>
              <w:rPr>
                <w:color w:val="163342"/>
                <w:sz w:val="18"/>
              </w:rPr>
              <w:t>Client</w:t>
            </w:r>
          </w:p>
        </w:tc>
        <w:tc>
          <w:tcPr>
            <w:tcW w:type="dxa" w:w="6960"/>
            <w:vAlign w:val="center"/>
            <w:tcMar>
              <w:top w:w="100" w:type="dxa"/>
              <w:start w:w="120" w:type="dxa"/>
              <w:bottom w:w="100" w:type="dxa"/>
              <w:end w:w="120" w:type="dxa"/>
            </w:tcMar>
          </w:tcPr>
          <w:p>
            <w:pPr>
              <w:spacing w:after="0" w:line="247" w:lineRule="auto"/>
            </w:pPr>
            <w:r>
              <w:rPr>
                <w:color w:val="163342"/>
                <w:sz w:val="18"/>
              </w:rPr>
              <w:t>Client display name and optional logo/avatar.</w:t>
            </w:r>
          </w:p>
        </w:tc>
      </w:tr>
      <w:tr>
        <w:tc>
          <w:tcPr>
            <w:tcW w:type="dxa" w:w="2400"/>
            <w:vAlign w:val="center"/>
            <w:tcMar>
              <w:top w:w="100" w:type="dxa"/>
              <w:start w:w="120" w:type="dxa"/>
              <w:bottom w:w="100" w:type="dxa"/>
              <w:end w:w="120" w:type="dxa"/>
            </w:tcMar>
          </w:tcPr>
          <w:p>
            <w:pPr>
              <w:spacing w:after="0" w:line="247" w:lineRule="auto"/>
            </w:pPr>
            <w:r>
              <w:rPr>
                <w:color w:val="163342"/>
                <w:sz w:val="18"/>
              </w:rPr>
              <w:t>Growth status</w:t>
            </w:r>
          </w:p>
        </w:tc>
        <w:tc>
          <w:tcPr>
            <w:tcW w:type="dxa" w:w="6960"/>
            <w:vAlign w:val="center"/>
            <w:tcMar>
              <w:top w:w="100" w:type="dxa"/>
              <w:start w:w="120" w:type="dxa"/>
              <w:bottom w:w="100" w:type="dxa"/>
              <w:end w:w="120" w:type="dxa"/>
            </w:tcMar>
          </w:tcPr>
          <w:p>
            <w:pPr>
              <w:spacing w:after="0" w:line="247" w:lineRule="auto"/>
            </w:pPr>
            <w:r>
              <w:rPr>
                <w:color w:val="163342"/>
                <w:sz w:val="18"/>
              </w:rPr>
              <w:t>Improving, Stable, Attention Needed, Collecting Data or Data Limited.</w:t>
            </w:r>
          </w:p>
        </w:tc>
      </w:tr>
      <w:tr>
        <w:tc>
          <w:tcPr>
            <w:tcW w:type="dxa" w:w="2400"/>
            <w:vAlign w:val="center"/>
            <w:tcMar>
              <w:top w:w="100" w:type="dxa"/>
              <w:start w:w="120" w:type="dxa"/>
              <w:bottom w:w="100" w:type="dxa"/>
              <w:end w:w="120" w:type="dxa"/>
            </w:tcMar>
          </w:tcPr>
          <w:p>
            <w:pPr>
              <w:spacing w:after="0" w:line="247" w:lineRule="auto"/>
            </w:pPr>
            <w:r>
              <w:rPr>
                <w:color w:val="163342"/>
                <w:sz w:val="18"/>
              </w:rPr>
              <w:t>Main result</w:t>
            </w:r>
          </w:p>
        </w:tc>
        <w:tc>
          <w:tcPr>
            <w:tcW w:type="dxa" w:w="6960"/>
            <w:vAlign w:val="center"/>
            <w:tcMar>
              <w:top w:w="100" w:type="dxa"/>
              <w:start w:w="120" w:type="dxa"/>
              <w:bottom w:w="100" w:type="dxa"/>
              <w:end w:w="120" w:type="dxa"/>
            </w:tcMar>
          </w:tcPr>
          <w:p>
            <w:pPr>
              <w:spacing w:after="0" w:line="247" w:lineRule="auto"/>
            </w:pPr>
            <w:r>
              <w:rPr>
                <w:color w:val="163342"/>
                <w:sz w:val="18"/>
              </w:rPr>
              <w:t>One primary strategy-linked result with period and state.</w:t>
            </w:r>
          </w:p>
        </w:tc>
      </w:tr>
      <w:tr>
        <w:tc>
          <w:tcPr>
            <w:tcW w:type="dxa" w:w="2400"/>
            <w:vAlign w:val="center"/>
            <w:tcMar>
              <w:top w:w="100" w:type="dxa"/>
              <w:start w:w="120" w:type="dxa"/>
              <w:bottom w:w="100" w:type="dxa"/>
              <w:end w:w="120" w:type="dxa"/>
            </w:tcMar>
          </w:tcPr>
          <w:p>
            <w:pPr>
              <w:spacing w:after="0" w:line="247" w:lineRule="auto"/>
            </w:pPr>
            <w:r>
              <w:rPr>
                <w:color w:val="163342"/>
                <w:sz w:val="18"/>
              </w:rPr>
              <w:t>Main issue</w:t>
            </w:r>
          </w:p>
        </w:tc>
        <w:tc>
          <w:tcPr>
            <w:tcW w:type="dxa" w:w="6960"/>
            <w:vAlign w:val="center"/>
            <w:tcMar>
              <w:top w:w="100" w:type="dxa"/>
              <w:start w:w="120" w:type="dxa"/>
              <w:bottom w:w="100" w:type="dxa"/>
              <w:end w:w="120" w:type="dxa"/>
            </w:tcMar>
          </w:tcPr>
          <w:p>
            <w:pPr>
              <w:spacing w:after="0" w:line="247" w:lineRule="auto"/>
            </w:pPr>
            <w:r>
              <w:rPr>
                <w:color w:val="163342"/>
                <w:sz w:val="18"/>
              </w:rPr>
              <w:t>Highest-priority material problem or blocker; never fabricated to fill the field.</w:t>
            </w:r>
          </w:p>
        </w:tc>
      </w:tr>
      <w:tr>
        <w:tc>
          <w:tcPr>
            <w:tcW w:type="dxa" w:w="2400"/>
            <w:vAlign w:val="center"/>
            <w:tcMar>
              <w:top w:w="100" w:type="dxa"/>
              <w:start w:w="120" w:type="dxa"/>
              <w:bottom w:w="100" w:type="dxa"/>
              <w:end w:w="120" w:type="dxa"/>
            </w:tcMar>
          </w:tcPr>
          <w:p>
            <w:pPr>
              <w:spacing w:after="0" w:line="247" w:lineRule="auto"/>
            </w:pPr>
            <w:r>
              <w:rPr>
                <w:color w:val="163342"/>
                <w:sz w:val="18"/>
              </w:rPr>
              <w:t>Next action</w:t>
            </w:r>
          </w:p>
        </w:tc>
        <w:tc>
          <w:tcPr>
            <w:tcW w:type="dxa" w:w="6960"/>
            <w:vAlign w:val="center"/>
            <w:tcMar>
              <w:top w:w="100" w:type="dxa"/>
              <w:start w:w="120" w:type="dxa"/>
              <w:bottom w:w="100" w:type="dxa"/>
              <w:end w:w="120" w:type="dxa"/>
            </w:tcMar>
          </w:tcPr>
          <w:p>
            <w:pPr>
              <w:spacing w:after="0" w:line="247" w:lineRule="auto"/>
            </w:pPr>
            <w:r>
              <w:rPr>
                <w:color w:val="163342"/>
                <w:sz w:val="18"/>
              </w:rPr>
              <w:t>Current Next Best Action or explicit waiting/no-action state.</w:t>
            </w:r>
          </w:p>
        </w:tc>
      </w:tr>
      <w:tr>
        <w:tc>
          <w:tcPr>
            <w:tcW w:type="dxa" w:w="2400"/>
            <w:vAlign w:val="center"/>
            <w:tcMar>
              <w:top w:w="100" w:type="dxa"/>
              <w:start w:w="120" w:type="dxa"/>
              <w:bottom w:w="100" w:type="dxa"/>
              <w:end w:w="120" w:type="dxa"/>
            </w:tcMar>
          </w:tcPr>
          <w:p>
            <w:pPr>
              <w:spacing w:after="0" w:line="247" w:lineRule="auto"/>
            </w:pPr>
            <w:r>
              <w:rPr>
                <w:color w:val="163342"/>
                <w:sz w:val="18"/>
              </w:rPr>
              <w:t>Report status</w:t>
            </w:r>
          </w:p>
        </w:tc>
        <w:tc>
          <w:tcPr>
            <w:tcW w:type="dxa" w:w="6960"/>
            <w:vAlign w:val="center"/>
            <w:tcMar>
              <w:top w:w="100" w:type="dxa"/>
              <w:start w:w="120" w:type="dxa"/>
              <w:bottom w:w="100" w:type="dxa"/>
              <w:end w:w="120" w:type="dxa"/>
            </w:tcMar>
          </w:tcPr>
          <w:p>
            <w:pPr>
              <w:spacing w:after="0" w:line="247" w:lineRule="auto"/>
            </w:pPr>
            <w:r>
              <w:rPr>
                <w:color w:val="163342"/>
                <w:sz w:val="18"/>
              </w:rPr>
              <w:t>Not Generated, Draft, Ready for Review, Finalized, Limited or Failed.</w:t>
            </w:r>
          </w:p>
        </w:tc>
      </w:tr>
      <w:tr>
        <w:tc>
          <w:tcPr>
            <w:tcW w:type="dxa" w:w="2400"/>
            <w:vAlign w:val="center"/>
            <w:tcMar>
              <w:top w:w="100" w:type="dxa"/>
              <w:start w:w="120" w:type="dxa"/>
              <w:bottom w:w="100" w:type="dxa"/>
              <w:end w:w="120" w:type="dxa"/>
            </w:tcMar>
          </w:tcPr>
          <w:p>
            <w:pPr>
              <w:spacing w:after="0" w:line="247" w:lineRule="auto"/>
            </w:pPr>
            <w:r>
              <w:rPr>
                <w:color w:val="163342"/>
                <w:sz w:val="18"/>
              </w:rPr>
              <w:t>Last updated</w:t>
            </w:r>
          </w:p>
        </w:tc>
        <w:tc>
          <w:tcPr>
            <w:tcW w:type="dxa" w:w="6960"/>
            <w:vAlign w:val="center"/>
            <w:tcMar>
              <w:top w:w="100" w:type="dxa"/>
              <w:start w:w="120" w:type="dxa"/>
              <w:bottom w:w="100" w:type="dxa"/>
              <w:end w:w="120" w:type="dxa"/>
            </w:tcMar>
          </w:tcPr>
          <w:p>
            <w:pPr>
              <w:spacing w:after="0" w:line="247" w:lineRule="auto"/>
            </w:pPr>
            <w:r>
              <w:rPr>
                <w:color w:val="163342"/>
                <w:sz w:val="18"/>
              </w:rPr>
              <w:t>Freshness of the client read model and source-warning indicator.</w:t>
            </w:r>
          </w:p>
        </w:tc>
      </w:tr>
    </w:tbl>
    <w:p>
      <w:pPr>
        <w:spacing w:after="20"/>
      </w:pPr>
    </w:p>
    <w:p>
      <w:pPr>
        <w:pStyle w:val="Heading2"/>
        <w:keepNext/>
      </w:pPr>
      <w:r>
        <w:t>10.3 Portfolio status derivation</w:t>
      </w:r>
    </w:p>
    <w:p>
      <w:pPr>
        <w:pStyle w:val="ListBullet"/>
      </w:pPr>
      <w:r>
        <w:t>Attention Needed when a primary outcome declined materially, a critical guardrail was harmed, a mandatory issue blocks measurement/execution or an urgent Next Best Action exists.</w:t>
      </w:r>
    </w:p>
    <w:p>
      <w:pPr>
        <w:pStyle w:val="ListBullet"/>
      </w:pPr>
      <w:r>
        <w:t>Improving when a primary outcome improved materially with acceptable guardrails and no higher-priority mandatory problem.</w:t>
      </w:r>
    </w:p>
    <w:p>
      <w:pPr>
        <w:pStyle w:val="ListBullet"/>
      </w:pPr>
      <w:r>
        <w:t>Data Limited when the current outcome cannot be evaluated because of a material source, consent, quality or baseline limitation.</w:t>
      </w:r>
    </w:p>
    <w:p>
      <w:pPr>
        <w:pStyle w:val="ListBullet"/>
      </w:pPr>
      <w:r>
        <w:t>Collecting Data when the approved measurement window has not matured and no urgent safeguard issue exists.</w:t>
      </w:r>
    </w:p>
    <w:p>
      <w:pPr>
        <w:pStyle w:val="ListBullet"/>
      </w:pPr>
      <w:r>
        <w:t>Stable when evidence supports neither material improvement nor decline and the system is not blocked.</w:t>
      </w:r>
    </w:p>
    <w:p>
      <w:pPr>
        <w:pStyle w:val="Heading2"/>
        <w:keepNext/>
      </w:pPr>
      <w:r>
        <w:t>10.4 Agency review</w:t>
      </w:r>
    </w:p>
    <w:p>
      <w:r>
        <w:t>Agency review is intentionally limited. Authorized staff may edit only presentation fields: report title, short opening note and whether an optional non-critical finding is shown. They cannot edit computed metrics, evidence states, limitations, critical guardrails, verified work status, Growth Blueprint facts or the Next Best Action decision.</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900"/>
        <w:gridCol w:w="1900"/>
        <w:gridCol w:w="4560"/>
      </w:tblGrid>
      <w:tr>
        <w:trPr>
          <w:tblHeader w:val="true"/>
        </w:trPr>
        <w:tc>
          <w:tcPr>
            <w:tcW w:type="dxa" w:w="2900"/>
            <w:shd w:fill="EAF2F8"/>
            <w:vAlign w:val="center"/>
            <w:tcMar>
              <w:top w:w="100" w:type="dxa"/>
              <w:start w:w="120" w:type="dxa"/>
              <w:bottom w:w="100" w:type="dxa"/>
              <w:end w:w="120" w:type="dxa"/>
            </w:tcMar>
          </w:tcPr>
          <w:p>
            <w:r>
              <w:rPr>
                <w:b/>
                <w:color w:val="10243E"/>
                <w:sz w:val="17"/>
              </w:rPr>
              <w:t>Field</w:t>
            </w:r>
          </w:p>
        </w:tc>
        <w:tc>
          <w:tcPr>
            <w:tcW w:type="dxa" w:w="1900"/>
            <w:shd w:fill="EAF2F8"/>
            <w:vAlign w:val="center"/>
            <w:tcMar>
              <w:top w:w="100" w:type="dxa"/>
              <w:start w:w="120" w:type="dxa"/>
              <w:bottom w:w="100" w:type="dxa"/>
              <w:end w:w="120" w:type="dxa"/>
            </w:tcMar>
          </w:tcPr>
          <w:p>
            <w:r>
              <w:rPr>
                <w:b/>
                <w:color w:val="10243E"/>
                <w:sz w:val="17"/>
              </w:rPr>
              <w:t>Agency may edit?</w:t>
            </w:r>
          </w:p>
        </w:tc>
        <w:tc>
          <w:tcPr>
            <w:tcW w:type="dxa" w:w="4560"/>
            <w:shd w:fill="EAF2F8"/>
            <w:vAlign w:val="center"/>
            <w:tcMar>
              <w:top w:w="100" w:type="dxa"/>
              <w:start w:w="120" w:type="dxa"/>
              <w:bottom w:w="100" w:type="dxa"/>
              <w:end w:w="120" w:type="dxa"/>
            </w:tcMar>
          </w:tcPr>
          <w:p>
            <w:r>
              <w:rPr>
                <w:b/>
                <w:color w:val="10243E"/>
                <w:sz w:val="17"/>
              </w:rPr>
              <w:t>Rule</w:t>
            </w:r>
          </w:p>
        </w:tc>
      </w:tr>
      <w:tr>
        <w:tc>
          <w:tcPr>
            <w:tcW w:type="dxa" w:w="2900"/>
            <w:vAlign w:val="center"/>
            <w:tcMar>
              <w:top w:w="100" w:type="dxa"/>
              <w:start w:w="120" w:type="dxa"/>
              <w:bottom w:w="100" w:type="dxa"/>
              <w:end w:w="120" w:type="dxa"/>
            </w:tcMar>
          </w:tcPr>
          <w:p>
            <w:pPr>
              <w:spacing w:after="0" w:line="247" w:lineRule="auto"/>
            </w:pPr>
            <w:r>
              <w:rPr>
                <w:color w:val="163342"/>
                <w:sz w:val="17"/>
              </w:rPr>
              <w:t>Report title</w:t>
            </w:r>
          </w:p>
        </w:tc>
        <w:tc>
          <w:tcPr>
            <w:tcW w:type="dxa" w:w="1900"/>
            <w:vAlign w:val="center"/>
            <w:tcMar>
              <w:top w:w="100" w:type="dxa"/>
              <w:start w:w="120" w:type="dxa"/>
              <w:bottom w:w="100" w:type="dxa"/>
              <w:end w:w="120" w:type="dxa"/>
            </w:tcMar>
          </w:tcPr>
          <w:p>
            <w:pPr>
              <w:spacing w:after="0" w:line="247" w:lineRule="auto"/>
            </w:pPr>
            <w:r>
              <w:rPr>
                <w:color w:val="163342"/>
                <w:sz w:val="17"/>
              </w:rPr>
              <w:t>Yes</w:t>
            </w:r>
          </w:p>
        </w:tc>
        <w:tc>
          <w:tcPr>
            <w:tcW w:type="dxa" w:w="4560"/>
            <w:vAlign w:val="center"/>
            <w:tcMar>
              <w:top w:w="100" w:type="dxa"/>
              <w:start w:w="120" w:type="dxa"/>
              <w:bottom w:w="100" w:type="dxa"/>
              <w:end w:w="120" w:type="dxa"/>
            </w:tcMar>
          </w:tcPr>
          <w:p>
            <w:pPr>
              <w:spacing w:after="0" w:line="247" w:lineRule="auto"/>
            </w:pPr>
            <w:r>
              <w:rPr>
                <w:color w:val="163342"/>
                <w:sz w:val="17"/>
              </w:rPr>
              <w:t>Maximum 120 characters; no claims or guarantees.</w:t>
            </w:r>
          </w:p>
        </w:tc>
      </w:tr>
      <w:tr>
        <w:tc>
          <w:tcPr>
            <w:tcW w:type="dxa" w:w="2900"/>
            <w:vAlign w:val="center"/>
            <w:tcMar>
              <w:top w:w="100" w:type="dxa"/>
              <w:start w:w="120" w:type="dxa"/>
              <w:bottom w:w="100" w:type="dxa"/>
              <w:end w:w="120" w:type="dxa"/>
            </w:tcMar>
          </w:tcPr>
          <w:p>
            <w:pPr>
              <w:spacing w:after="0" w:line="247" w:lineRule="auto"/>
            </w:pPr>
            <w:r>
              <w:rPr>
                <w:color w:val="163342"/>
                <w:sz w:val="17"/>
              </w:rPr>
              <w:t>Opening note</w:t>
            </w:r>
          </w:p>
        </w:tc>
        <w:tc>
          <w:tcPr>
            <w:tcW w:type="dxa" w:w="1900"/>
            <w:vAlign w:val="center"/>
            <w:tcMar>
              <w:top w:w="100" w:type="dxa"/>
              <w:start w:w="120" w:type="dxa"/>
              <w:bottom w:w="100" w:type="dxa"/>
              <w:end w:w="120" w:type="dxa"/>
            </w:tcMar>
          </w:tcPr>
          <w:p>
            <w:pPr>
              <w:spacing w:after="0" w:line="247" w:lineRule="auto"/>
            </w:pPr>
            <w:r>
              <w:rPr>
                <w:color w:val="163342"/>
                <w:sz w:val="17"/>
              </w:rPr>
              <w:t>Yes</w:t>
            </w:r>
          </w:p>
        </w:tc>
        <w:tc>
          <w:tcPr>
            <w:tcW w:type="dxa" w:w="4560"/>
            <w:vAlign w:val="center"/>
            <w:tcMar>
              <w:top w:w="100" w:type="dxa"/>
              <w:start w:w="120" w:type="dxa"/>
              <w:bottom w:w="100" w:type="dxa"/>
              <w:end w:w="120" w:type="dxa"/>
            </w:tcMar>
          </w:tcPr>
          <w:p>
            <w:pPr>
              <w:spacing w:after="0" w:line="247" w:lineRule="auto"/>
            </w:pPr>
            <w:r>
              <w:rPr>
                <w:color w:val="163342"/>
                <w:sz w:val="17"/>
              </w:rPr>
              <w:t>Maximum 600 characters; privacy and claim validation apply.</w:t>
            </w:r>
          </w:p>
        </w:tc>
      </w:tr>
      <w:tr>
        <w:tc>
          <w:tcPr>
            <w:tcW w:type="dxa" w:w="2900"/>
            <w:vAlign w:val="center"/>
            <w:tcMar>
              <w:top w:w="100" w:type="dxa"/>
              <w:start w:w="120" w:type="dxa"/>
              <w:bottom w:w="100" w:type="dxa"/>
              <w:end w:w="120" w:type="dxa"/>
            </w:tcMar>
          </w:tcPr>
          <w:p>
            <w:pPr>
              <w:spacing w:after="0" w:line="247" w:lineRule="auto"/>
            </w:pPr>
            <w:r>
              <w:rPr>
                <w:color w:val="163342"/>
                <w:sz w:val="17"/>
              </w:rPr>
              <w:t>Optional finding visibility</w:t>
            </w:r>
          </w:p>
        </w:tc>
        <w:tc>
          <w:tcPr>
            <w:tcW w:type="dxa" w:w="1900"/>
            <w:vAlign w:val="center"/>
            <w:tcMar>
              <w:top w:w="100" w:type="dxa"/>
              <w:start w:w="120" w:type="dxa"/>
              <w:bottom w:w="100" w:type="dxa"/>
              <w:end w:w="120" w:type="dxa"/>
            </w:tcMar>
          </w:tcPr>
          <w:p>
            <w:pPr>
              <w:spacing w:after="0" w:line="247" w:lineRule="auto"/>
            </w:pPr>
            <w:r>
              <w:rPr>
                <w:color w:val="163342"/>
                <w:sz w:val="17"/>
              </w:rPr>
              <w:t>Yes</w:t>
            </w:r>
          </w:p>
        </w:tc>
        <w:tc>
          <w:tcPr>
            <w:tcW w:type="dxa" w:w="4560"/>
            <w:vAlign w:val="center"/>
            <w:tcMar>
              <w:top w:w="100" w:type="dxa"/>
              <w:start w:w="120" w:type="dxa"/>
              <w:bottom w:w="100" w:type="dxa"/>
              <w:end w:w="120" w:type="dxa"/>
            </w:tcMar>
          </w:tcPr>
          <w:p>
            <w:pPr>
              <w:spacing w:after="0" w:line="247" w:lineRule="auto"/>
            </w:pPr>
            <w:r>
              <w:rPr>
                <w:color w:val="163342"/>
                <w:sz w:val="17"/>
              </w:rPr>
              <w:t>Only findings flagged optional; critical findings and limitations are locked.</w:t>
            </w:r>
          </w:p>
        </w:tc>
      </w:tr>
      <w:tr>
        <w:tc>
          <w:tcPr>
            <w:tcW w:type="dxa" w:w="2900"/>
            <w:vAlign w:val="center"/>
            <w:tcMar>
              <w:top w:w="100" w:type="dxa"/>
              <w:start w:w="120" w:type="dxa"/>
              <w:bottom w:w="100" w:type="dxa"/>
              <w:end w:w="120" w:type="dxa"/>
            </w:tcMar>
          </w:tcPr>
          <w:p>
            <w:pPr>
              <w:spacing w:after="0" w:line="247" w:lineRule="auto"/>
            </w:pPr>
            <w:r>
              <w:rPr>
                <w:color w:val="163342"/>
                <w:sz w:val="17"/>
              </w:rPr>
              <w:t>Metric value/comparison</w:t>
            </w:r>
          </w:p>
        </w:tc>
        <w:tc>
          <w:tcPr>
            <w:tcW w:type="dxa" w:w="1900"/>
            <w:vAlign w:val="center"/>
            <w:tcMar>
              <w:top w:w="100" w:type="dxa"/>
              <w:start w:w="120" w:type="dxa"/>
              <w:bottom w:w="100" w:type="dxa"/>
              <w:end w:w="120" w:type="dxa"/>
            </w:tcMar>
          </w:tcPr>
          <w:p>
            <w:pPr>
              <w:spacing w:after="0" w:line="247" w:lineRule="auto"/>
            </w:pPr>
            <w:r>
              <w:rPr>
                <w:color w:val="163342"/>
                <w:sz w:val="17"/>
              </w:rPr>
              <w:t>No</w:t>
            </w:r>
          </w:p>
        </w:tc>
        <w:tc>
          <w:tcPr>
            <w:tcW w:type="dxa" w:w="4560"/>
            <w:vAlign w:val="center"/>
            <w:tcMar>
              <w:top w:w="100" w:type="dxa"/>
              <w:start w:w="120" w:type="dxa"/>
              <w:bottom w:w="100" w:type="dxa"/>
              <w:end w:w="120" w:type="dxa"/>
            </w:tcMar>
          </w:tcPr>
          <w:p>
            <w:pPr>
              <w:spacing w:after="0" w:line="247" w:lineRule="auto"/>
            </w:pPr>
            <w:r>
              <w:rPr>
                <w:color w:val="163342"/>
                <w:sz w:val="17"/>
              </w:rPr>
              <w:t>Always authoritative snapshot value.</w:t>
            </w:r>
          </w:p>
        </w:tc>
      </w:tr>
      <w:tr>
        <w:tc>
          <w:tcPr>
            <w:tcW w:type="dxa" w:w="2900"/>
            <w:vAlign w:val="center"/>
            <w:tcMar>
              <w:top w:w="100" w:type="dxa"/>
              <w:start w:w="120" w:type="dxa"/>
              <w:bottom w:w="100" w:type="dxa"/>
              <w:end w:w="120" w:type="dxa"/>
            </w:tcMar>
          </w:tcPr>
          <w:p>
            <w:pPr>
              <w:spacing w:after="0" w:line="247" w:lineRule="auto"/>
            </w:pPr>
            <w:r>
              <w:rPr>
                <w:color w:val="163342"/>
                <w:sz w:val="17"/>
              </w:rPr>
              <w:t>Summary narrative</w:t>
            </w:r>
          </w:p>
        </w:tc>
        <w:tc>
          <w:tcPr>
            <w:tcW w:type="dxa" w:w="1900"/>
            <w:vAlign w:val="center"/>
            <w:tcMar>
              <w:top w:w="100" w:type="dxa"/>
              <w:start w:w="120" w:type="dxa"/>
              <w:bottom w:w="100" w:type="dxa"/>
              <w:end w:w="120" w:type="dxa"/>
            </w:tcMar>
          </w:tcPr>
          <w:p>
            <w:pPr>
              <w:spacing w:after="0" w:line="247" w:lineRule="auto"/>
            </w:pPr>
            <w:r>
              <w:rPr>
                <w:color w:val="163342"/>
                <w:sz w:val="17"/>
              </w:rPr>
              <w:t>No direct free edit in V1</w:t>
            </w:r>
          </w:p>
        </w:tc>
        <w:tc>
          <w:tcPr>
            <w:tcW w:type="dxa" w:w="4560"/>
            <w:vAlign w:val="center"/>
            <w:tcMar>
              <w:top w:w="100" w:type="dxa"/>
              <w:start w:w="120" w:type="dxa"/>
              <w:bottom w:w="100" w:type="dxa"/>
              <w:end w:w="120" w:type="dxa"/>
            </w:tcMar>
          </w:tcPr>
          <w:p>
            <w:pPr>
              <w:spacing w:after="0" w:line="247" w:lineRule="auto"/>
            </w:pPr>
            <w:r>
              <w:rPr>
                <w:color w:val="163342"/>
                <w:sz w:val="17"/>
              </w:rPr>
              <w:t>Regenerate from same facts or use opening note.</w:t>
            </w:r>
          </w:p>
        </w:tc>
      </w:tr>
      <w:tr>
        <w:tc>
          <w:tcPr>
            <w:tcW w:type="dxa" w:w="2900"/>
            <w:vAlign w:val="center"/>
            <w:tcMar>
              <w:top w:w="100" w:type="dxa"/>
              <w:start w:w="120" w:type="dxa"/>
              <w:bottom w:w="100" w:type="dxa"/>
              <w:end w:w="120" w:type="dxa"/>
            </w:tcMar>
          </w:tcPr>
          <w:p>
            <w:pPr>
              <w:spacing w:after="0" w:line="247" w:lineRule="auto"/>
            </w:pPr>
            <w:r>
              <w:rPr>
                <w:color w:val="163342"/>
                <w:sz w:val="17"/>
              </w:rPr>
              <w:t>Next Best Action</w:t>
            </w:r>
          </w:p>
        </w:tc>
        <w:tc>
          <w:tcPr>
            <w:tcW w:type="dxa" w:w="1900"/>
            <w:vAlign w:val="center"/>
            <w:tcMar>
              <w:top w:w="100" w:type="dxa"/>
              <w:start w:w="120" w:type="dxa"/>
              <w:bottom w:w="100" w:type="dxa"/>
              <w:end w:w="120" w:type="dxa"/>
            </w:tcMar>
          </w:tcPr>
          <w:p>
            <w:pPr>
              <w:spacing w:after="0" w:line="247" w:lineRule="auto"/>
            </w:pPr>
            <w:r>
              <w:rPr>
                <w:color w:val="163342"/>
                <w:sz w:val="17"/>
              </w:rPr>
              <w:t>No</w:t>
            </w:r>
          </w:p>
        </w:tc>
        <w:tc>
          <w:tcPr>
            <w:tcW w:type="dxa" w:w="4560"/>
            <w:vAlign w:val="center"/>
            <w:tcMar>
              <w:top w:w="100" w:type="dxa"/>
              <w:start w:w="120" w:type="dxa"/>
              <w:bottom w:w="100" w:type="dxa"/>
              <w:end w:w="120" w:type="dxa"/>
            </w:tcMar>
          </w:tcPr>
          <w:p>
            <w:pPr>
              <w:spacing w:after="0" w:line="247" w:lineRule="auto"/>
            </w:pPr>
            <w:r>
              <w:rPr>
                <w:color w:val="163342"/>
                <w:sz w:val="17"/>
              </w:rPr>
              <w:t>Controlled by Workflow Controller.</w:t>
            </w:r>
          </w:p>
        </w:tc>
      </w:tr>
    </w:tbl>
    <w:p>
      <w:pPr>
        <w:spacing w:after="20"/>
      </w:pPr>
    </w:p>
    <w:p>
      <w:pPr>
        <w:pStyle w:val="Heading2"/>
        <w:keepNext/>
      </w:pPr>
      <w:r>
        <w:t>10.5 Client Viewer experience</w:t>
      </w:r>
    </w:p>
    <w:p>
      <w:pPr>
        <w:pStyle w:val="ListBullet"/>
      </w:pPr>
      <w:r>
        <w:t>A Client Viewer sees only finalized client-visible revisions for assigned clients.</w:t>
      </w:r>
    </w:p>
    <w:p>
      <w:pPr>
        <w:pStyle w:val="ListBullet"/>
      </w:pPr>
      <w:r>
        <w:t>The viewer may open evidence details only when those records are marked client-visible.</w:t>
      </w:r>
    </w:p>
    <w:p>
      <w:pPr>
        <w:pStyle w:val="ListBullet"/>
      </w:pPr>
      <w:r>
        <w:t>Internal notes, staff assignments, costs, capacity usage, other clients and portfolio status are excluded before serialization.</w:t>
      </w:r>
    </w:p>
    <w:p>
      <w:pPr>
        <w:pStyle w:val="ListBullet"/>
      </w:pPr>
      <w:r>
        <w:t>Client approval of a recommended action does not grant publishing authority. It records approval and returns control to the Workflow Controller/Part 3 execution path.</w:t>
      </w:r>
    </w:p>
    <w:p>
      <w:pPr>
        <w:pStyle w:val="ListBullet"/>
      </w:pPr>
      <w:r>
        <w:t>Client Viewers cannot initiate new AI analysis by default and do not consume an Agency workspace’s AI Capacity through report viewing or PDF download.</w:t>
      </w:r>
    </w:p>
    <w:p>
      <w:pPr>
        <w:pStyle w:val="Heading2"/>
        <w:keepNext/>
      </w:pPr>
      <w:r>
        <w:t>10.6 No cross-client benchmarking</w:t>
      </w:r>
    </w:p>
    <w:p>
      <w:r>
        <w:t>V1 does not show a client that they rank above or below another Agency client. The Agency portfolio may show each client’s independent status, but it must not expose comparative benchmarks unless a future de-identified policy explicitly authorizes them.</w:t>
      </w:r>
    </w:p>
    <w:p>
      <w:pPr>
        <w:pStyle w:val="Heading1"/>
        <w:keepNext/>
      </w:pPr>
      <w:r>
        <w:t>11. Branding and PDF Export</w:t>
      </w:r>
    </w:p>
    <w:p>
      <w:r>
        <w:t>V1 branding is a small Agency Brand Profile applied to the client report header and footer. It is not a general white-label portal.</w:t>
      </w:r>
    </w:p>
    <w:p>
      <w:pPr>
        <w:pStyle w:val="Heading2"/>
        <w:keepNext/>
      </w:pPr>
      <w:r>
        <w:t>11.1 Agency Brand Profile fields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700"/>
        <w:gridCol w:w="6660"/>
      </w:tblGrid>
      <w:tr>
        <w:trPr>
          <w:tblHeader w:val="true"/>
        </w:trPr>
        <w:tc>
          <w:tcPr>
            <w:tcW w:type="dxa" w:w="2700"/>
            <w:shd w:fill="EAF2F8"/>
            <w:vAlign w:val="center"/>
            <w:tcMar>
              <w:top w:w="100" w:type="dxa"/>
              <w:start w:w="120" w:type="dxa"/>
              <w:bottom w:w="100" w:type="dxa"/>
              <w:end w:w="120" w:type="dxa"/>
            </w:tcMar>
          </w:tcPr>
          <w:p>
            <w:r>
              <w:rPr>
                <w:b/>
                <w:color w:val="10243E"/>
                <w:sz w:val="18"/>
              </w:rPr>
              <w:t>Field</w:t>
            </w:r>
          </w:p>
        </w:tc>
        <w:tc>
          <w:tcPr>
            <w:tcW w:type="dxa" w:w="6660"/>
            <w:shd w:fill="EAF2F8"/>
            <w:vAlign w:val="center"/>
            <w:tcMar>
              <w:top w:w="100" w:type="dxa"/>
              <w:start w:w="120" w:type="dxa"/>
              <w:bottom w:w="100" w:type="dxa"/>
              <w:end w:w="120" w:type="dxa"/>
            </w:tcMar>
          </w:tcPr>
          <w:p>
            <w:r>
              <w:rPr>
                <w:b/>
                <w:color w:val="10243E"/>
                <w:sz w:val="18"/>
              </w:rPr>
              <w:t>Rule</w:t>
            </w:r>
          </w:p>
        </w:tc>
      </w:tr>
      <w:tr>
        <w:tc>
          <w:tcPr>
            <w:tcW w:type="dxa" w:w="2700"/>
            <w:vAlign w:val="center"/>
            <w:tcMar>
              <w:top w:w="100" w:type="dxa"/>
              <w:start w:w="120" w:type="dxa"/>
              <w:bottom w:w="100" w:type="dxa"/>
              <w:end w:w="120" w:type="dxa"/>
            </w:tcMar>
          </w:tcPr>
          <w:p>
            <w:pPr>
              <w:spacing w:after="0" w:line="247" w:lineRule="auto"/>
            </w:pPr>
            <w:r>
              <w:rPr>
                <w:color w:val="163342"/>
                <w:sz w:val="18"/>
              </w:rPr>
              <w:t>Agency display name</w:t>
            </w:r>
          </w:p>
        </w:tc>
        <w:tc>
          <w:tcPr>
            <w:tcW w:type="dxa" w:w="6660"/>
            <w:vAlign w:val="center"/>
            <w:tcMar>
              <w:top w:w="100" w:type="dxa"/>
              <w:start w:w="120" w:type="dxa"/>
              <w:bottom w:w="100" w:type="dxa"/>
              <w:end w:w="120" w:type="dxa"/>
            </w:tcMar>
          </w:tcPr>
          <w:p>
            <w:pPr>
              <w:spacing w:after="0" w:line="247" w:lineRule="auto"/>
            </w:pPr>
            <w:r>
              <w:rPr>
                <w:color w:val="163342"/>
                <w:sz w:val="18"/>
              </w:rPr>
              <w:t>Required; 1-120 characters.</w:t>
            </w:r>
          </w:p>
        </w:tc>
      </w:tr>
      <w:tr>
        <w:tc>
          <w:tcPr>
            <w:tcW w:type="dxa" w:w="2700"/>
            <w:vAlign w:val="center"/>
            <w:tcMar>
              <w:top w:w="100" w:type="dxa"/>
              <w:start w:w="120" w:type="dxa"/>
              <w:bottom w:w="100" w:type="dxa"/>
              <w:end w:w="120" w:type="dxa"/>
            </w:tcMar>
          </w:tcPr>
          <w:p>
            <w:pPr>
              <w:spacing w:after="0" w:line="247" w:lineRule="auto"/>
            </w:pPr>
            <w:r>
              <w:rPr>
                <w:color w:val="163342"/>
                <w:sz w:val="18"/>
              </w:rPr>
              <w:t>Logo</w:t>
            </w:r>
          </w:p>
        </w:tc>
        <w:tc>
          <w:tcPr>
            <w:tcW w:type="dxa" w:w="6660"/>
            <w:vAlign w:val="center"/>
            <w:tcMar>
              <w:top w:w="100" w:type="dxa"/>
              <w:start w:w="120" w:type="dxa"/>
              <w:bottom w:w="100" w:type="dxa"/>
              <w:end w:w="120" w:type="dxa"/>
            </w:tcMar>
          </w:tcPr>
          <w:p>
            <w:pPr>
              <w:spacing w:after="0" w:line="247" w:lineRule="auto"/>
            </w:pPr>
            <w:r>
              <w:rPr>
                <w:color w:val="163342"/>
                <w:sz w:val="18"/>
              </w:rPr>
              <w:t>PNG/JPEG/SVG converted through safe image pipeline; size and aspect limits enforced.</w:t>
            </w:r>
          </w:p>
        </w:tc>
      </w:tr>
      <w:tr>
        <w:tc>
          <w:tcPr>
            <w:tcW w:type="dxa" w:w="2700"/>
            <w:vAlign w:val="center"/>
            <w:tcMar>
              <w:top w:w="100" w:type="dxa"/>
              <w:start w:w="120" w:type="dxa"/>
              <w:bottom w:w="100" w:type="dxa"/>
              <w:end w:w="120" w:type="dxa"/>
            </w:tcMar>
          </w:tcPr>
          <w:p>
            <w:pPr>
              <w:spacing w:after="0" w:line="247" w:lineRule="auto"/>
            </w:pPr>
            <w:r>
              <w:rPr>
                <w:color w:val="163342"/>
                <w:sz w:val="18"/>
              </w:rPr>
              <w:t>Primary accent color</w:t>
            </w:r>
          </w:p>
        </w:tc>
        <w:tc>
          <w:tcPr>
            <w:tcW w:type="dxa" w:w="6660"/>
            <w:vAlign w:val="center"/>
            <w:tcMar>
              <w:top w:w="100" w:type="dxa"/>
              <w:start w:w="120" w:type="dxa"/>
              <w:bottom w:w="100" w:type="dxa"/>
              <w:end w:w="120" w:type="dxa"/>
            </w:tcMar>
          </w:tcPr>
          <w:p>
            <w:pPr>
              <w:spacing w:after="0" w:line="247" w:lineRule="auto"/>
            </w:pPr>
            <w:r>
              <w:rPr>
                <w:color w:val="163342"/>
                <w:sz w:val="18"/>
              </w:rPr>
              <w:t>One accessible hex color; system may adjust foreground text for contrast.</w:t>
            </w:r>
          </w:p>
        </w:tc>
      </w:tr>
      <w:tr>
        <w:tc>
          <w:tcPr>
            <w:tcW w:type="dxa" w:w="2700"/>
            <w:vAlign w:val="center"/>
            <w:tcMar>
              <w:top w:w="100" w:type="dxa"/>
              <w:start w:w="120" w:type="dxa"/>
              <w:bottom w:w="100" w:type="dxa"/>
              <w:end w:w="120" w:type="dxa"/>
            </w:tcMar>
          </w:tcPr>
          <w:p>
            <w:pPr>
              <w:spacing w:after="0" w:line="247" w:lineRule="auto"/>
            </w:pPr>
            <w:r>
              <w:rPr>
                <w:color w:val="163342"/>
                <w:sz w:val="18"/>
              </w:rPr>
              <w:t>Contact line</w:t>
            </w:r>
          </w:p>
        </w:tc>
        <w:tc>
          <w:tcPr>
            <w:tcW w:type="dxa" w:w="6660"/>
            <w:vAlign w:val="center"/>
            <w:tcMar>
              <w:top w:w="100" w:type="dxa"/>
              <w:start w:w="120" w:type="dxa"/>
              <w:bottom w:w="100" w:type="dxa"/>
              <w:end w:w="120" w:type="dxa"/>
            </w:tcMar>
          </w:tcPr>
          <w:p>
            <w:pPr>
              <w:spacing w:after="0" w:line="247" w:lineRule="auto"/>
            </w:pPr>
            <w:r>
              <w:rPr>
                <w:color w:val="163342"/>
                <w:sz w:val="18"/>
              </w:rPr>
              <w:t>Optional plain text; maximum 160 characters.</w:t>
            </w:r>
          </w:p>
        </w:tc>
      </w:tr>
      <w:tr>
        <w:tc>
          <w:tcPr>
            <w:tcW w:type="dxa" w:w="2700"/>
            <w:vAlign w:val="center"/>
            <w:tcMar>
              <w:top w:w="100" w:type="dxa"/>
              <w:start w:w="120" w:type="dxa"/>
              <w:bottom w:w="100" w:type="dxa"/>
              <w:end w:w="120" w:type="dxa"/>
            </w:tcMar>
          </w:tcPr>
          <w:p>
            <w:pPr>
              <w:spacing w:after="0" w:line="247" w:lineRule="auto"/>
            </w:pPr>
            <w:r>
              <w:rPr>
                <w:color w:val="163342"/>
                <w:sz w:val="18"/>
              </w:rPr>
              <w:t>Website URL</w:t>
            </w:r>
          </w:p>
        </w:tc>
        <w:tc>
          <w:tcPr>
            <w:tcW w:type="dxa" w:w="6660"/>
            <w:vAlign w:val="center"/>
            <w:tcMar>
              <w:top w:w="100" w:type="dxa"/>
              <w:start w:w="120" w:type="dxa"/>
              <w:bottom w:w="100" w:type="dxa"/>
              <w:end w:w="120" w:type="dxa"/>
            </w:tcMar>
          </w:tcPr>
          <w:p>
            <w:pPr>
              <w:spacing w:after="0" w:line="247" w:lineRule="auto"/>
            </w:pPr>
            <w:r>
              <w:rPr>
                <w:color w:val="163342"/>
                <w:sz w:val="18"/>
              </w:rPr>
              <w:t>Optional validated HTTPS URL.</w:t>
            </w:r>
          </w:p>
        </w:tc>
      </w:tr>
      <w:tr>
        <w:tc>
          <w:tcPr>
            <w:tcW w:type="dxa" w:w="2700"/>
            <w:vAlign w:val="center"/>
            <w:tcMar>
              <w:top w:w="100" w:type="dxa"/>
              <w:start w:w="120" w:type="dxa"/>
              <w:bottom w:w="100" w:type="dxa"/>
              <w:end w:w="120" w:type="dxa"/>
            </w:tcMar>
          </w:tcPr>
          <w:p>
            <w:pPr>
              <w:spacing w:after="0" w:line="247" w:lineRule="auto"/>
            </w:pPr>
            <w:r>
              <w:rPr>
                <w:color w:val="163342"/>
                <w:sz w:val="18"/>
              </w:rPr>
              <w:t>Footer text</w:t>
            </w:r>
          </w:p>
        </w:tc>
        <w:tc>
          <w:tcPr>
            <w:tcW w:type="dxa" w:w="6660"/>
            <w:vAlign w:val="center"/>
            <w:tcMar>
              <w:top w:w="100" w:type="dxa"/>
              <w:start w:w="120" w:type="dxa"/>
              <w:bottom w:w="100" w:type="dxa"/>
              <w:end w:w="120" w:type="dxa"/>
            </w:tcMar>
          </w:tcPr>
          <w:p>
            <w:pPr>
              <w:spacing w:after="0" w:line="247" w:lineRule="auto"/>
            </w:pPr>
            <w:r>
              <w:rPr>
                <w:color w:val="163342"/>
                <w:sz w:val="18"/>
              </w:rPr>
              <w:t>Optional; maximum 200 characters; legal/claim validation applies.</w:t>
            </w:r>
          </w:p>
        </w:tc>
      </w:tr>
    </w:tbl>
    <w:p>
      <w:pPr>
        <w:spacing w:after="20"/>
      </w:pPr>
    </w:p>
    <w:p>
      <w:pPr>
        <w:pStyle w:val="Heading2"/>
        <w:keepNext/>
      </w:pPr>
      <w:r>
        <w:t>11.2 Branding exclusions</w:t>
      </w:r>
    </w:p>
    <w:p>
      <w:pPr>
        <w:pStyle w:val="ListBullet"/>
      </w:pPr>
      <w:r>
        <w:t>No custom domains, custom login pages or replacement of the SEnuke AI application shell in V1.</w:t>
      </w:r>
    </w:p>
    <w:p>
      <w:pPr>
        <w:pStyle w:val="ListBullet"/>
      </w:pPr>
      <w:r>
        <w:t>No arbitrary CSS, HTML, JavaScript, fonts or uploaded templates.</w:t>
      </w:r>
    </w:p>
    <w:p>
      <w:pPr>
        <w:pStyle w:val="ListBullet"/>
      </w:pPr>
      <w:r>
        <w:t>No removal of required evidence, limitation, privacy or generated-by notices where policy requires them.</w:t>
      </w:r>
    </w:p>
    <w:p>
      <w:pPr>
        <w:pStyle w:val="ListBullet"/>
      </w:pPr>
      <w:r>
        <w:t>No per-client template designer. The same accessible report template is used for all Agencies.</w:t>
      </w:r>
    </w:p>
    <w:p>
      <w:pPr>
        <w:pStyle w:val="Heading2"/>
        <w:keepNext/>
      </w:pPr>
      <w:r>
        <w:t>11.3 PDF generation</w:t>
      </w:r>
    </w:p>
    <w:p>
      <w:pPr>
        <w:pStyle w:val="ListNumber"/>
      </w:pPr>
      <w:r>
        <w:t>Accept report_id, revision and actor context.</w:t>
      </w:r>
    </w:p>
    <w:p>
      <w:pPr>
        <w:pStyle w:val="ListNumber"/>
      </w:pPr>
      <w:r>
        <w:t>Reauthorize report scope and export capability.</w:t>
      </w:r>
    </w:p>
    <w:p>
      <w:pPr>
        <w:pStyle w:val="ListNumber"/>
      </w:pPr>
      <w:r>
        <w:t>Load the immutable report snapshot, saved narrative and brand profile version referenced by the report.</w:t>
      </w:r>
    </w:p>
    <w:p>
      <w:pPr>
        <w:pStyle w:val="ListNumber"/>
      </w:pPr>
      <w:r>
        <w:t>Render server-side from a versioned template. Never use current live metrics.</w:t>
      </w:r>
    </w:p>
    <w:p>
      <w:pPr>
        <w:pStyle w:val="ListNumber"/>
      </w:pPr>
      <w:r>
        <w:t>Run page-count, font, missing-asset and overflow checks.</w:t>
      </w:r>
    </w:p>
    <w:p>
      <w:pPr>
        <w:pStyle w:val="ListNumber"/>
      </w:pPr>
      <w:r>
        <w:t>Store the PDF with report ownership, content hash, template version and retention metadata.</w:t>
      </w:r>
    </w:p>
    <w:p>
      <w:pPr>
        <w:pStyle w:val="ListNumber"/>
      </w:pPr>
      <w:r>
        <w:t>Return a short-lived authorized download URL or stream; never expose raw object-storage paths.</w:t>
      </w:r>
    </w:p>
    <w:p>
      <w:pPr>
        <w:pStyle w:val="Heading2"/>
        <w:keepNext/>
      </w:pPr>
      <w:r>
        <w:t>11.4 PDF content</w:t>
      </w:r>
    </w:p>
    <w:p>
      <w:r>
        <w:t>The PDF contains the same seven report sections, a compact evidence appendix, reporting period, generated/finalized time, report revision, Agency brand header when applicable and page numbers. Interactive deep links become safe HTTPS links or human-readable references. Internal-only fields are removed before the render model is created.</w:t>
      </w:r>
    </w:p>
    <w:p>
      <w:pPr>
        <w:pStyle w:val="Heading2"/>
        <w:keepNext/>
      </w:pPr>
      <w:r>
        <w:t>11.5 PDF accessibility</w:t>
      </w:r>
    </w:p>
    <w:p>
      <w:pPr>
        <w:pStyle w:val="ListBullet"/>
      </w:pPr>
      <w:r>
        <w:t>Use a logical reading order, real headings, tagged tables where supported and descriptive link text.</w:t>
      </w:r>
    </w:p>
    <w:p>
      <w:pPr>
        <w:pStyle w:val="ListBullet"/>
      </w:pPr>
      <w:r>
        <w:t>Maintain accessible color contrast and never communicate status by color alone.</w:t>
      </w:r>
    </w:p>
    <w:p>
      <w:pPr>
        <w:pStyle w:val="ListBullet"/>
      </w:pPr>
      <w:r>
        <w:t>Give charts/textual visuals equivalent text. V1 should prefer simple metric blocks over decorative charts.</w:t>
      </w:r>
    </w:p>
    <w:p>
      <w:pPr>
        <w:pStyle w:val="ListBullet"/>
      </w:pPr>
      <w:r>
        <w:t>Logo alt text uses the Agency display name.</w:t>
      </w:r>
    </w:p>
    <w:p>
      <w:pPr>
        <w:pStyle w:val="Heading1"/>
        <w:keepNext/>
      </w:pPr>
      <w:r>
        <w:t>12. Data Model</w:t>
      </w:r>
    </w:p>
    <w:p>
      <w:r>
        <w:t>The entities below are the minimum V1 persistence model. Teams may map them to existing platform conventions, but ownership, immutability and revision behavior are required.</w:t>
      </w:r>
    </w:p>
    <w:p>
      <w:pPr>
        <w:pStyle w:val="Heading2"/>
        <w:keepNext/>
      </w:pPr>
      <w:r>
        <w:t>12.1 GrowthReport</w:t>
      </w:r>
    </w:p>
    <w:p>
      <w:pPr>
        <w:pStyle w:val="CodeBlock"/>
        <w:shd w:fill="F1F4F7"/>
        <w:pBdr>
          <w:top w:val="single" w:sz="5" w:space="4" w:color="D6DEE6"/>
          <w:left w:val="single" w:sz="5" w:space="4" w:color="D6DEE6"/>
          <w:bottom w:val="single" w:sz="5" w:space="4" w:color="D6DEE6"/>
          <w:right w:val="single" w:sz="5" w:space="4" w:color="D6DEE6"/>
        </w:pBdr>
      </w:pPr>
      <w:r>
        <w:t>GrowthReport {</w:t>
      </w:r>
      <w:r>
        <w:br/>
      </w:r>
      <w:r>
        <w:t xml:space="preserve">  id, workspace_id, project_id, client_id?,</w:t>
      </w:r>
      <w:r>
        <w:br/>
      </w:r>
      <w:r>
        <w:t xml:space="preserve">  local_period_start, local_period_end, timezone,</w:t>
      </w:r>
      <w:r>
        <w:br/>
      </w:r>
      <w:r>
        <w:t xml:space="preserve">  report_type: STANDARD_GROWTH,</w:t>
      </w:r>
      <w:r>
        <w:br/>
      </w:r>
      <w:r>
        <w:t xml:space="preserve">  audience_mode: OWNER | BUSINESS_TEAM | AGENCY_CLIENT,</w:t>
      </w:r>
      <w:r>
        <w:br/>
      </w:r>
      <w:r>
        <w:t xml:space="preserve">  current_revision_id,</w:t>
      </w:r>
      <w:r>
        <w:br/>
      </w:r>
      <w:r>
        <w:t xml:space="preserve">  status,</w:t>
      </w:r>
      <w:r>
        <w:br/>
      </w:r>
      <w:r>
        <w:t xml:space="preserve">  created_by, created_at, finalized_at?,</w:t>
      </w:r>
      <w:r>
        <w:br/>
      </w:r>
      <w:r>
        <w:t xml:space="preserve">  deleted_at?  // retention-controlled soft deletion only</w:t>
      </w:r>
      <w:r>
        <w:br/>
      </w:r>
      <w:r>
        <w:t>}</w:t>
      </w:r>
    </w:p>
    <w:p>
      <w:pPr>
        <w:pStyle w:val="Heading2"/>
        <w:keepNext/>
      </w:pPr>
      <w:r>
        <w:t>12.2 GrowthReportRevision</w:t>
      </w:r>
    </w:p>
    <w:p>
      <w:pPr>
        <w:pStyle w:val="CodeBlock"/>
        <w:shd w:fill="F1F4F7"/>
        <w:pBdr>
          <w:top w:val="single" w:sz="5" w:space="4" w:color="D6DEE6"/>
          <w:left w:val="single" w:sz="5" w:space="4" w:color="D6DEE6"/>
          <w:bottom w:val="single" w:sz="5" w:space="4" w:color="D6DEE6"/>
          <w:right w:val="single" w:sz="5" w:space="4" w:color="D6DEE6"/>
        </w:pBdr>
      </w:pPr>
      <w:r>
        <w:t>GrowthReportRevision {</w:t>
      </w:r>
      <w:r>
        <w:br/>
      </w:r>
      <w:r>
        <w:t xml:space="preserve">  id, report_id, revision_number,</w:t>
      </w:r>
      <w:r>
        <w:br/>
      </w:r>
      <w:r>
        <w:t xml:space="preserve">  source_fingerprint, content_hash,</w:t>
      </w:r>
      <w:r>
        <w:br/>
      </w:r>
      <w:r>
        <w:t xml:space="preserve">  snapshot_schema_version, narrative_schema_version,</w:t>
      </w:r>
      <w:r>
        <w:br/>
      </w:r>
      <w:r>
        <w:t xml:space="preserve">  template_version, brand_profile_version_id?,</w:t>
      </w:r>
      <w:r>
        <w:br/>
      </w:r>
      <w:r>
        <w:t xml:space="preserve">  source_watermark_summary,</w:t>
      </w:r>
      <w:r>
        <w:br/>
      </w:r>
      <w:r>
        <w:t xml:space="preserve">  limitation_summary,</w:t>
      </w:r>
      <w:r>
        <w:br/>
      </w:r>
      <w:r>
        <w:t xml:space="preserve">  supersedes_revision_id?, revision_reason?,</w:t>
      </w:r>
      <w:r>
        <w:br/>
      </w:r>
      <w:r>
        <w:t xml:space="preserve">  created_at, finalized_at?, finalized_by?</w:t>
      </w:r>
      <w:r>
        <w:br/>
      </w:r>
      <w:r>
        <w:t>}</w:t>
      </w:r>
    </w:p>
    <w:p>
      <w:pPr>
        <w:pStyle w:val="Heading2"/>
        <w:keepNext/>
      </w:pPr>
      <w:r>
        <w:t>12.3 GrowthReportSnapshot</w:t>
      </w:r>
    </w:p>
    <w:p>
      <w:r>
        <w:t>The snapshot is an immutable structured payload or normalized child records containing: objective, active versions, work items, selected metrics, findings, limitations, Blueprint learning reference, Next Best Action reference, evidence links and audience visibility flags. It stores rendered display values as well as normalized values so historical exports remain stable when formatting policies change.</w:t>
      </w:r>
    </w:p>
    <w:p>
      <w:pPr>
        <w:pStyle w:val="Heading2"/>
        <w:keepNext/>
      </w:pPr>
      <w:r>
        <w:t>12.4 Supporting entities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800"/>
        <w:gridCol w:w="6560"/>
      </w:tblGrid>
      <w:tr>
        <w:trPr>
          <w:tblHeader w:val="true"/>
        </w:trPr>
        <w:tc>
          <w:tcPr>
            <w:tcW w:type="dxa" w:w="2800"/>
            <w:shd w:fill="EAF2F8"/>
            <w:vAlign w:val="center"/>
            <w:tcMar>
              <w:top w:w="100" w:type="dxa"/>
              <w:start w:w="120" w:type="dxa"/>
              <w:bottom w:w="100" w:type="dxa"/>
              <w:end w:w="120" w:type="dxa"/>
            </w:tcMar>
          </w:tcPr>
          <w:p>
            <w:r>
              <w:rPr>
                <w:b/>
                <w:color w:val="10243E"/>
                <w:sz w:val="17"/>
              </w:rPr>
              <w:t>Entity</w:t>
            </w:r>
          </w:p>
        </w:tc>
        <w:tc>
          <w:tcPr>
            <w:tcW w:type="dxa" w:w="6560"/>
            <w:shd w:fill="EAF2F8"/>
            <w:vAlign w:val="center"/>
            <w:tcMar>
              <w:top w:w="100" w:type="dxa"/>
              <w:start w:w="120" w:type="dxa"/>
              <w:bottom w:w="100" w:type="dxa"/>
              <w:end w:w="120" w:type="dxa"/>
            </w:tcMar>
          </w:tcPr>
          <w:p>
            <w:r>
              <w:rPr>
                <w:b/>
                <w:color w:val="10243E"/>
                <w:sz w:val="17"/>
              </w:rPr>
              <w:t>Purpose</w:t>
            </w:r>
          </w:p>
        </w:tc>
      </w:tr>
      <w:tr>
        <w:tc>
          <w:tcPr>
            <w:tcW w:type="dxa" w:w="2800"/>
            <w:vAlign w:val="center"/>
            <w:tcMar>
              <w:top w:w="100" w:type="dxa"/>
              <w:start w:w="120" w:type="dxa"/>
              <w:bottom w:w="100" w:type="dxa"/>
              <w:end w:w="120" w:type="dxa"/>
            </w:tcMar>
          </w:tcPr>
          <w:p>
            <w:pPr>
              <w:spacing w:after="0" w:line="247" w:lineRule="auto"/>
            </w:pPr>
            <w:r>
              <w:rPr>
                <w:color w:val="163342"/>
                <w:sz w:val="17"/>
              </w:rPr>
              <w:t>ReportMetric</w:t>
            </w:r>
          </w:p>
        </w:tc>
        <w:tc>
          <w:tcPr>
            <w:tcW w:type="dxa" w:w="6560"/>
            <w:vAlign w:val="center"/>
            <w:tcMar>
              <w:top w:w="100" w:type="dxa"/>
              <w:start w:w="120" w:type="dxa"/>
              <w:bottom w:w="100" w:type="dxa"/>
              <w:end w:w="120" w:type="dxa"/>
            </w:tcMar>
          </w:tcPr>
          <w:p>
            <w:pPr>
              <w:spacing w:after="0" w:line="247" w:lineRule="auto"/>
            </w:pPr>
            <w:r>
              <w:rPr>
                <w:color w:val="163342"/>
                <w:sz w:val="17"/>
              </w:rPr>
              <w:t>Selected metric, unit, current/comparison value, state, direction, definition and evidence references.</w:t>
            </w:r>
          </w:p>
        </w:tc>
      </w:tr>
      <w:tr>
        <w:tc>
          <w:tcPr>
            <w:tcW w:type="dxa" w:w="2800"/>
            <w:vAlign w:val="center"/>
            <w:tcMar>
              <w:top w:w="100" w:type="dxa"/>
              <w:start w:w="120" w:type="dxa"/>
              <w:bottom w:w="100" w:type="dxa"/>
              <w:end w:w="120" w:type="dxa"/>
            </w:tcMar>
          </w:tcPr>
          <w:p>
            <w:pPr>
              <w:spacing w:after="0" w:line="247" w:lineRule="auto"/>
            </w:pPr>
            <w:r>
              <w:rPr>
                <w:color w:val="163342"/>
                <w:sz w:val="17"/>
              </w:rPr>
              <w:t>ReportWorkItem</w:t>
            </w:r>
          </w:p>
        </w:tc>
        <w:tc>
          <w:tcPr>
            <w:tcW w:type="dxa" w:w="6560"/>
            <w:vAlign w:val="center"/>
            <w:tcMar>
              <w:top w:w="100" w:type="dxa"/>
              <w:start w:w="120" w:type="dxa"/>
              <w:bottom w:w="100" w:type="dxa"/>
              <w:end w:w="120" w:type="dxa"/>
            </w:tcMar>
          </w:tcPr>
          <w:p>
            <w:pPr>
              <w:spacing w:after="0" w:line="247" w:lineRule="auto"/>
            </w:pPr>
            <w:r>
              <w:rPr>
                <w:color w:val="163342"/>
                <w:sz w:val="17"/>
              </w:rPr>
              <w:t>User-facing verified work item with execution/version link and status.</w:t>
            </w:r>
          </w:p>
        </w:tc>
      </w:tr>
      <w:tr>
        <w:tc>
          <w:tcPr>
            <w:tcW w:type="dxa" w:w="2800"/>
            <w:vAlign w:val="center"/>
            <w:tcMar>
              <w:top w:w="100" w:type="dxa"/>
              <w:start w:w="120" w:type="dxa"/>
              <w:bottom w:w="100" w:type="dxa"/>
              <w:end w:w="120" w:type="dxa"/>
            </w:tcMar>
          </w:tcPr>
          <w:p>
            <w:pPr>
              <w:spacing w:after="0" w:line="247" w:lineRule="auto"/>
            </w:pPr>
            <w:r>
              <w:rPr>
                <w:color w:val="163342"/>
                <w:sz w:val="17"/>
              </w:rPr>
              <w:t>ReportFinding</w:t>
            </w:r>
          </w:p>
        </w:tc>
        <w:tc>
          <w:tcPr>
            <w:tcW w:type="dxa" w:w="6560"/>
            <w:vAlign w:val="center"/>
            <w:tcMar>
              <w:top w:w="100" w:type="dxa"/>
              <w:start w:w="120" w:type="dxa"/>
              <w:bottom w:w="100" w:type="dxa"/>
              <w:end w:w="120" w:type="dxa"/>
            </w:tcMar>
          </w:tcPr>
          <w:p>
            <w:pPr>
              <w:spacing w:after="0" w:line="247" w:lineRule="auto"/>
            </w:pPr>
            <w:r>
              <w:rPr>
                <w:color w:val="163342"/>
                <w:sz w:val="17"/>
              </w:rPr>
              <w:t>Win, problem or opportunity with severity, evidence and optional/locked visibility.</w:t>
            </w:r>
          </w:p>
        </w:tc>
      </w:tr>
      <w:tr>
        <w:tc>
          <w:tcPr>
            <w:tcW w:type="dxa" w:w="2800"/>
            <w:vAlign w:val="center"/>
            <w:tcMar>
              <w:top w:w="100" w:type="dxa"/>
              <w:start w:w="120" w:type="dxa"/>
              <w:bottom w:w="100" w:type="dxa"/>
              <w:end w:w="120" w:type="dxa"/>
            </w:tcMar>
          </w:tcPr>
          <w:p>
            <w:pPr>
              <w:spacing w:after="0" w:line="247" w:lineRule="auto"/>
            </w:pPr>
            <w:r>
              <w:rPr>
                <w:color w:val="163342"/>
                <w:sz w:val="17"/>
              </w:rPr>
              <w:t>ReportLimitation</w:t>
            </w:r>
          </w:p>
        </w:tc>
        <w:tc>
          <w:tcPr>
            <w:tcW w:type="dxa" w:w="6560"/>
            <w:vAlign w:val="center"/>
            <w:tcMar>
              <w:top w:w="100" w:type="dxa"/>
              <w:start w:w="120" w:type="dxa"/>
              <w:bottom w:w="100" w:type="dxa"/>
              <w:end w:w="120" w:type="dxa"/>
            </w:tcMar>
          </w:tcPr>
          <w:p>
            <w:pPr>
              <w:spacing w:after="0" w:line="247" w:lineRule="auto"/>
            </w:pPr>
            <w:r>
              <w:rPr>
                <w:color w:val="163342"/>
                <w:sz w:val="17"/>
              </w:rPr>
              <w:t>Material limitation, reason code, plain-language text and affected claims.</w:t>
            </w:r>
          </w:p>
        </w:tc>
      </w:tr>
      <w:tr>
        <w:tc>
          <w:tcPr>
            <w:tcW w:type="dxa" w:w="2800"/>
            <w:vAlign w:val="center"/>
            <w:tcMar>
              <w:top w:w="100" w:type="dxa"/>
              <w:start w:w="120" w:type="dxa"/>
              <w:bottom w:w="100" w:type="dxa"/>
              <w:end w:w="120" w:type="dxa"/>
            </w:tcMar>
          </w:tcPr>
          <w:p>
            <w:pPr>
              <w:spacing w:after="0" w:line="247" w:lineRule="auto"/>
            </w:pPr>
            <w:r>
              <w:rPr>
                <w:color w:val="163342"/>
                <w:sz w:val="17"/>
              </w:rPr>
              <w:t>ReportNarrative</w:t>
            </w:r>
          </w:p>
        </w:tc>
        <w:tc>
          <w:tcPr>
            <w:tcW w:type="dxa" w:w="6560"/>
            <w:vAlign w:val="center"/>
            <w:tcMar>
              <w:top w:w="100" w:type="dxa"/>
              <w:start w:w="120" w:type="dxa"/>
              <w:bottom w:w="100" w:type="dxa"/>
              <w:end w:w="120" w:type="dxa"/>
            </w:tcMar>
          </w:tcPr>
          <w:p>
            <w:pPr>
              <w:spacing w:after="0" w:line="247" w:lineRule="auto"/>
            </w:pPr>
            <w:r>
              <w:rPr>
                <w:color w:val="163342"/>
                <w:sz w:val="17"/>
              </w:rPr>
              <w:t>Validated structured AI or deterministic fallback narrative.</w:t>
            </w:r>
          </w:p>
        </w:tc>
      </w:tr>
      <w:tr>
        <w:tc>
          <w:tcPr>
            <w:tcW w:type="dxa" w:w="2800"/>
            <w:vAlign w:val="center"/>
            <w:tcMar>
              <w:top w:w="100" w:type="dxa"/>
              <w:start w:w="120" w:type="dxa"/>
              <w:bottom w:w="100" w:type="dxa"/>
              <w:end w:w="120" w:type="dxa"/>
            </w:tcMar>
          </w:tcPr>
          <w:p>
            <w:pPr>
              <w:spacing w:after="0" w:line="247" w:lineRule="auto"/>
            </w:pPr>
            <w:r>
              <w:rPr>
                <w:color w:val="163342"/>
                <w:sz w:val="17"/>
              </w:rPr>
              <w:t>ReportPresentationOverride</w:t>
            </w:r>
          </w:p>
        </w:tc>
        <w:tc>
          <w:tcPr>
            <w:tcW w:type="dxa" w:w="6560"/>
            <w:vAlign w:val="center"/>
            <w:tcMar>
              <w:top w:w="100" w:type="dxa"/>
              <w:start w:w="120" w:type="dxa"/>
              <w:bottom w:w="100" w:type="dxa"/>
              <w:end w:w="120" w:type="dxa"/>
            </w:tcMar>
          </w:tcPr>
          <w:p>
            <w:pPr>
              <w:spacing w:after="0" w:line="247" w:lineRule="auto"/>
            </w:pPr>
            <w:r>
              <w:rPr>
                <w:color w:val="163342"/>
                <w:sz w:val="17"/>
              </w:rPr>
              <w:t>Allowed Agency title/opening-note/optional-finding settings; never numeric truth.</w:t>
            </w:r>
          </w:p>
        </w:tc>
      </w:tr>
      <w:tr>
        <w:tc>
          <w:tcPr>
            <w:tcW w:type="dxa" w:w="2800"/>
            <w:vAlign w:val="center"/>
            <w:tcMar>
              <w:top w:w="100" w:type="dxa"/>
              <w:start w:w="120" w:type="dxa"/>
              <w:bottom w:w="100" w:type="dxa"/>
              <w:end w:w="120" w:type="dxa"/>
            </w:tcMar>
          </w:tcPr>
          <w:p>
            <w:pPr>
              <w:spacing w:after="0" w:line="247" w:lineRule="auto"/>
            </w:pPr>
            <w:r>
              <w:rPr>
                <w:color w:val="163342"/>
                <w:sz w:val="17"/>
              </w:rPr>
              <w:t>AgencyBrandProfile</w:t>
            </w:r>
          </w:p>
        </w:tc>
        <w:tc>
          <w:tcPr>
            <w:tcW w:type="dxa" w:w="6560"/>
            <w:vAlign w:val="center"/>
            <w:tcMar>
              <w:top w:w="100" w:type="dxa"/>
              <w:start w:w="120" w:type="dxa"/>
              <w:bottom w:w="100" w:type="dxa"/>
              <w:end w:w="120" w:type="dxa"/>
            </w:tcMar>
          </w:tcPr>
          <w:p>
            <w:pPr>
              <w:spacing w:after="0" w:line="247" w:lineRule="auto"/>
            </w:pPr>
            <w:r>
              <w:rPr>
                <w:color w:val="163342"/>
                <w:sz w:val="17"/>
              </w:rPr>
              <w:t>Versioned safe branding fields.</w:t>
            </w:r>
          </w:p>
        </w:tc>
      </w:tr>
      <w:tr>
        <w:tc>
          <w:tcPr>
            <w:tcW w:type="dxa" w:w="2800"/>
            <w:vAlign w:val="center"/>
            <w:tcMar>
              <w:top w:w="100" w:type="dxa"/>
              <w:start w:w="120" w:type="dxa"/>
              <w:bottom w:w="100" w:type="dxa"/>
              <w:end w:w="120" w:type="dxa"/>
            </w:tcMar>
          </w:tcPr>
          <w:p>
            <w:pPr>
              <w:spacing w:after="0" w:line="247" w:lineRule="auto"/>
            </w:pPr>
            <w:r>
              <w:rPr>
                <w:color w:val="163342"/>
                <w:sz w:val="17"/>
              </w:rPr>
              <w:t>ReportExport</w:t>
            </w:r>
          </w:p>
        </w:tc>
        <w:tc>
          <w:tcPr>
            <w:tcW w:type="dxa" w:w="6560"/>
            <w:vAlign w:val="center"/>
            <w:tcMar>
              <w:top w:w="100" w:type="dxa"/>
              <w:start w:w="120" w:type="dxa"/>
              <w:bottom w:w="100" w:type="dxa"/>
              <w:end w:w="120" w:type="dxa"/>
            </w:tcMar>
          </w:tcPr>
          <w:p>
            <w:pPr>
              <w:spacing w:after="0" w:line="247" w:lineRule="auto"/>
            </w:pPr>
            <w:r>
              <w:rPr>
                <w:color w:val="163342"/>
                <w:sz w:val="17"/>
              </w:rPr>
              <w:t>PDF state, hash, storage reference, template/brand version and requester.</w:t>
            </w:r>
          </w:p>
        </w:tc>
      </w:tr>
      <w:tr>
        <w:tc>
          <w:tcPr>
            <w:tcW w:type="dxa" w:w="2800"/>
            <w:vAlign w:val="center"/>
            <w:tcMar>
              <w:top w:w="100" w:type="dxa"/>
              <w:start w:w="120" w:type="dxa"/>
              <w:bottom w:w="100" w:type="dxa"/>
              <w:end w:w="120" w:type="dxa"/>
            </w:tcMar>
          </w:tcPr>
          <w:p>
            <w:pPr>
              <w:spacing w:after="0" w:line="247" w:lineRule="auto"/>
            </w:pPr>
            <w:r>
              <w:rPr>
                <w:color w:val="163342"/>
                <w:sz w:val="17"/>
              </w:rPr>
              <w:t>AgencyPortfolioReadModel</w:t>
            </w:r>
          </w:p>
        </w:tc>
        <w:tc>
          <w:tcPr>
            <w:tcW w:type="dxa" w:w="6560"/>
            <w:vAlign w:val="center"/>
            <w:tcMar>
              <w:top w:w="100" w:type="dxa"/>
              <w:start w:w="120" w:type="dxa"/>
              <w:bottom w:w="100" w:type="dxa"/>
              <w:end w:w="120" w:type="dxa"/>
            </w:tcMar>
          </w:tcPr>
          <w:p>
            <w:pPr>
              <w:spacing w:after="0" w:line="247" w:lineRule="auto"/>
            </w:pPr>
            <w:r>
              <w:rPr>
                <w:color w:val="163342"/>
                <w:sz w:val="17"/>
              </w:rPr>
              <w:t>Precomputed client status row; internal Agency scope only.</w:t>
            </w:r>
          </w:p>
        </w:tc>
      </w:tr>
    </w:tbl>
    <w:p>
      <w:pPr>
        <w:spacing w:after="20"/>
      </w:pPr>
    </w:p>
    <w:p>
      <w:pPr>
        <w:pStyle w:val="Heading2"/>
        <w:keepNext/>
      </w:pPr>
      <w:r>
        <w:t>12.5 Required indexes and constraints</w:t>
      </w:r>
    </w:p>
    <w:p>
      <w:pPr>
        <w:pStyle w:val="ListBullet"/>
      </w:pPr>
      <w:r>
        <w:t>Index reports by workspace/project/client/period/status and current revision.</w:t>
      </w:r>
    </w:p>
    <w:p>
      <w:pPr>
        <w:pStyle w:val="ListBullet"/>
      </w:pPr>
      <w:r>
        <w:t>Unique report revision number within report_id.</w:t>
      </w:r>
    </w:p>
    <w:p>
      <w:pPr>
        <w:pStyle w:val="ListBullet"/>
      </w:pPr>
      <w:r>
        <w:t>Unique source fingerprint within report_id unless a reviewed presentation-only revision is requested.</w:t>
      </w:r>
    </w:p>
    <w:p>
      <w:pPr>
        <w:pStyle w:val="ListBullet"/>
      </w:pPr>
      <w:r>
        <w:t>Foreign keys or equivalent service checks preserve workspace, project and client ownership.</w:t>
      </w:r>
    </w:p>
    <w:p>
      <w:pPr>
        <w:pStyle w:val="ListBullet"/>
      </w:pPr>
      <w:r>
        <w:t>Append-only revision history. Finalized snapshots and narratives are not updated in place.</w:t>
      </w:r>
    </w:p>
    <w:p>
      <w:pPr>
        <w:pStyle w:val="ListBullet"/>
      </w:pPr>
      <w:r>
        <w:t>Object storage keys include opaque IDs, never customer names, email addresses or public sequential IDs.</w:t>
      </w:r>
    </w:p>
    <w:p>
      <w:pPr>
        <w:pStyle w:val="Heading1"/>
        <w:keepNext/>
      </w:pPr>
      <w:r>
        <w:t>13. Services, APIs and Events</w:t>
      </w:r>
    </w:p>
    <w:p>
      <w:pPr>
        <w:pStyle w:val="Heading2"/>
        <w:keepNext/>
      </w:pPr>
      <w:r>
        <w:t>13.1 Service boundaries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800"/>
        <w:gridCol w:w="6560"/>
      </w:tblGrid>
      <w:tr>
        <w:trPr>
          <w:tblHeader w:val="true"/>
        </w:trPr>
        <w:tc>
          <w:tcPr>
            <w:tcW w:type="dxa" w:w="2800"/>
            <w:shd w:fill="EAF2F8"/>
            <w:vAlign w:val="center"/>
            <w:tcMar>
              <w:top w:w="100" w:type="dxa"/>
              <w:start w:w="120" w:type="dxa"/>
              <w:bottom w:w="100" w:type="dxa"/>
              <w:end w:w="120" w:type="dxa"/>
            </w:tcMar>
          </w:tcPr>
          <w:p>
            <w:r>
              <w:rPr>
                <w:b/>
                <w:color w:val="10243E"/>
                <w:sz w:val="16"/>
              </w:rPr>
              <w:t>Service</w:t>
            </w:r>
          </w:p>
        </w:tc>
        <w:tc>
          <w:tcPr>
            <w:tcW w:type="dxa" w:w="6560"/>
            <w:shd w:fill="EAF2F8"/>
            <w:vAlign w:val="center"/>
            <w:tcMar>
              <w:top w:w="100" w:type="dxa"/>
              <w:start w:w="120" w:type="dxa"/>
              <w:bottom w:w="100" w:type="dxa"/>
              <w:end w:w="120" w:type="dxa"/>
            </w:tcMar>
          </w:tcPr>
          <w:p>
            <w:r>
              <w:rPr>
                <w:b/>
                <w:color w:val="10243E"/>
                <w:sz w:val="16"/>
              </w:rPr>
              <w:t>Required methods</w:t>
            </w:r>
          </w:p>
        </w:tc>
      </w:tr>
      <w:tr>
        <w:tc>
          <w:tcPr>
            <w:tcW w:type="dxa" w:w="2800"/>
            <w:vAlign w:val="center"/>
            <w:tcMar>
              <w:top w:w="100" w:type="dxa"/>
              <w:start w:w="120" w:type="dxa"/>
              <w:bottom w:w="100" w:type="dxa"/>
              <w:end w:w="120" w:type="dxa"/>
            </w:tcMar>
          </w:tcPr>
          <w:p>
            <w:pPr>
              <w:spacing w:after="0" w:line="247" w:lineRule="auto"/>
            </w:pPr>
            <w:r>
              <w:rPr>
                <w:color w:val="163342"/>
                <w:sz w:val="16"/>
              </w:rPr>
              <w:t>ReportQueryService</w:t>
            </w:r>
          </w:p>
        </w:tc>
        <w:tc>
          <w:tcPr>
            <w:tcW w:type="dxa" w:w="6560"/>
            <w:vAlign w:val="center"/>
            <w:tcMar>
              <w:top w:w="100" w:type="dxa"/>
              <w:start w:w="120" w:type="dxa"/>
              <w:bottom w:w="100" w:type="dxa"/>
              <w:end w:w="120" w:type="dxa"/>
            </w:tcMar>
          </w:tcPr>
          <w:p>
            <w:pPr>
              <w:spacing w:after="0" w:line="247" w:lineRule="auto"/>
            </w:pPr>
            <w:r>
              <w:rPr>
                <w:color w:val="163342"/>
                <w:sz w:val="16"/>
              </w:rPr>
              <w:t>getSummary(scope), getReport(reportId, revision), listReports(scope), getPortfolio(workspaceId)</w:t>
            </w:r>
          </w:p>
        </w:tc>
      </w:tr>
      <w:tr>
        <w:tc>
          <w:tcPr>
            <w:tcW w:type="dxa" w:w="2800"/>
            <w:vAlign w:val="center"/>
            <w:tcMar>
              <w:top w:w="100" w:type="dxa"/>
              <w:start w:w="120" w:type="dxa"/>
              <w:bottom w:w="100" w:type="dxa"/>
              <w:end w:w="120" w:type="dxa"/>
            </w:tcMar>
          </w:tcPr>
          <w:p>
            <w:pPr>
              <w:spacing w:after="0" w:line="247" w:lineRule="auto"/>
            </w:pPr>
            <w:r>
              <w:rPr>
                <w:color w:val="163342"/>
                <w:sz w:val="16"/>
              </w:rPr>
              <w:t>ReportComposer</w:t>
            </w:r>
          </w:p>
        </w:tc>
        <w:tc>
          <w:tcPr>
            <w:tcW w:type="dxa" w:w="6560"/>
            <w:vAlign w:val="center"/>
            <w:tcMar>
              <w:top w:w="100" w:type="dxa"/>
              <w:start w:w="120" w:type="dxa"/>
              <w:bottom w:w="100" w:type="dxa"/>
              <w:end w:w="120" w:type="dxa"/>
            </w:tcMar>
          </w:tcPr>
          <w:p>
            <w:pPr>
              <w:spacing w:after="0" w:line="247" w:lineRule="auto"/>
            </w:pPr>
            <w:r>
              <w:rPr>
                <w:color w:val="163342"/>
                <w:sz w:val="16"/>
              </w:rPr>
              <w:t>validateRequest(), composeSnapshot(), selectMetrics(), selectFindings(), createRevision()</w:t>
            </w:r>
          </w:p>
        </w:tc>
      </w:tr>
      <w:tr>
        <w:tc>
          <w:tcPr>
            <w:tcW w:type="dxa" w:w="2800"/>
            <w:vAlign w:val="center"/>
            <w:tcMar>
              <w:top w:w="100" w:type="dxa"/>
              <w:start w:w="120" w:type="dxa"/>
              <w:bottom w:w="100" w:type="dxa"/>
              <w:end w:w="120" w:type="dxa"/>
            </w:tcMar>
          </w:tcPr>
          <w:p>
            <w:pPr>
              <w:spacing w:after="0" w:line="247" w:lineRule="auto"/>
            </w:pPr>
            <w:r>
              <w:rPr>
                <w:color w:val="163342"/>
                <w:sz w:val="16"/>
              </w:rPr>
              <w:t>ReportNarrativeService</w:t>
            </w:r>
          </w:p>
        </w:tc>
        <w:tc>
          <w:tcPr>
            <w:tcW w:type="dxa" w:w="6560"/>
            <w:vAlign w:val="center"/>
            <w:tcMar>
              <w:top w:w="100" w:type="dxa"/>
              <w:start w:w="120" w:type="dxa"/>
              <w:bottom w:w="100" w:type="dxa"/>
              <w:end w:w="120" w:type="dxa"/>
            </w:tcMar>
          </w:tcPr>
          <w:p>
            <w:pPr>
              <w:spacing w:after="0" w:line="247" w:lineRule="auto"/>
            </w:pPr>
            <w:r>
              <w:rPr>
                <w:color w:val="163342"/>
                <w:sz w:val="16"/>
              </w:rPr>
              <w:t>generate(), validate(), fallback() through AI Orchestrator</w:t>
            </w:r>
          </w:p>
        </w:tc>
      </w:tr>
      <w:tr>
        <w:tc>
          <w:tcPr>
            <w:tcW w:type="dxa" w:w="2800"/>
            <w:vAlign w:val="center"/>
            <w:tcMar>
              <w:top w:w="100" w:type="dxa"/>
              <w:start w:w="120" w:type="dxa"/>
              <w:bottom w:w="100" w:type="dxa"/>
              <w:end w:w="120" w:type="dxa"/>
            </w:tcMar>
          </w:tcPr>
          <w:p>
            <w:pPr>
              <w:spacing w:after="0" w:line="247" w:lineRule="auto"/>
            </w:pPr>
            <w:r>
              <w:rPr>
                <w:color w:val="163342"/>
                <w:sz w:val="16"/>
              </w:rPr>
              <w:t>ReportReviewService</w:t>
            </w:r>
          </w:p>
        </w:tc>
        <w:tc>
          <w:tcPr>
            <w:tcW w:type="dxa" w:w="6560"/>
            <w:vAlign w:val="center"/>
            <w:tcMar>
              <w:top w:w="100" w:type="dxa"/>
              <w:start w:w="120" w:type="dxa"/>
              <w:bottom w:w="100" w:type="dxa"/>
              <w:end w:w="120" w:type="dxa"/>
            </w:tcMar>
          </w:tcPr>
          <w:p>
            <w:pPr>
              <w:spacing w:after="0" w:line="247" w:lineRule="auto"/>
            </w:pPr>
            <w:r>
              <w:rPr>
                <w:color w:val="163342"/>
                <w:sz w:val="16"/>
              </w:rPr>
              <w:t>startReview(), applyPresentationOverrides(), finalize()</w:t>
            </w:r>
          </w:p>
        </w:tc>
      </w:tr>
      <w:tr>
        <w:tc>
          <w:tcPr>
            <w:tcW w:type="dxa" w:w="2800"/>
            <w:vAlign w:val="center"/>
            <w:tcMar>
              <w:top w:w="100" w:type="dxa"/>
              <w:start w:w="120" w:type="dxa"/>
              <w:bottom w:w="100" w:type="dxa"/>
              <w:end w:w="120" w:type="dxa"/>
            </w:tcMar>
          </w:tcPr>
          <w:p>
            <w:pPr>
              <w:spacing w:after="0" w:line="247" w:lineRule="auto"/>
            </w:pPr>
            <w:r>
              <w:rPr>
                <w:color w:val="163342"/>
                <w:sz w:val="16"/>
              </w:rPr>
              <w:t>ReportExportService</w:t>
            </w:r>
          </w:p>
        </w:tc>
        <w:tc>
          <w:tcPr>
            <w:tcW w:type="dxa" w:w="6560"/>
            <w:vAlign w:val="center"/>
            <w:tcMar>
              <w:top w:w="100" w:type="dxa"/>
              <w:start w:w="120" w:type="dxa"/>
              <w:bottom w:w="100" w:type="dxa"/>
              <w:end w:w="120" w:type="dxa"/>
            </w:tcMar>
          </w:tcPr>
          <w:p>
            <w:pPr>
              <w:spacing w:after="0" w:line="247" w:lineRule="auto"/>
            </w:pPr>
            <w:r>
              <w:rPr>
                <w:color w:val="163342"/>
                <w:sz w:val="16"/>
              </w:rPr>
              <w:t>requestPdf(), renderPdf(), getExport(), expireExport()</w:t>
            </w:r>
          </w:p>
        </w:tc>
      </w:tr>
      <w:tr>
        <w:tc>
          <w:tcPr>
            <w:tcW w:type="dxa" w:w="2800"/>
            <w:vAlign w:val="center"/>
            <w:tcMar>
              <w:top w:w="100" w:type="dxa"/>
              <w:start w:w="120" w:type="dxa"/>
              <w:bottom w:w="100" w:type="dxa"/>
              <w:end w:w="120" w:type="dxa"/>
            </w:tcMar>
          </w:tcPr>
          <w:p>
            <w:pPr>
              <w:spacing w:after="0" w:line="247" w:lineRule="auto"/>
            </w:pPr>
            <w:r>
              <w:rPr>
                <w:color w:val="163342"/>
                <w:sz w:val="16"/>
              </w:rPr>
              <w:t>AgencyBrandService</w:t>
            </w:r>
          </w:p>
        </w:tc>
        <w:tc>
          <w:tcPr>
            <w:tcW w:type="dxa" w:w="6560"/>
            <w:vAlign w:val="center"/>
            <w:tcMar>
              <w:top w:w="100" w:type="dxa"/>
              <w:start w:w="120" w:type="dxa"/>
              <w:bottom w:w="100" w:type="dxa"/>
              <w:end w:w="120" w:type="dxa"/>
            </w:tcMar>
          </w:tcPr>
          <w:p>
            <w:pPr>
              <w:spacing w:after="0" w:line="247" w:lineRule="auto"/>
            </w:pPr>
            <w:r>
              <w:rPr>
                <w:color w:val="163342"/>
                <w:sz w:val="16"/>
              </w:rPr>
              <w:t>getCurrent(), createVersion(), validateAssets()</w:t>
            </w:r>
          </w:p>
        </w:tc>
      </w:tr>
      <w:tr>
        <w:tc>
          <w:tcPr>
            <w:tcW w:type="dxa" w:w="2800"/>
            <w:vAlign w:val="center"/>
            <w:tcMar>
              <w:top w:w="100" w:type="dxa"/>
              <w:start w:w="120" w:type="dxa"/>
              <w:bottom w:w="100" w:type="dxa"/>
              <w:end w:w="120" w:type="dxa"/>
            </w:tcMar>
          </w:tcPr>
          <w:p>
            <w:pPr>
              <w:spacing w:after="0" w:line="247" w:lineRule="auto"/>
            </w:pPr>
            <w:r>
              <w:rPr>
                <w:color w:val="163342"/>
                <w:sz w:val="16"/>
              </w:rPr>
              <w:t>ReportReconciliationService</w:t>
            </w:r>
          </w:p>
        </w:tc>
        <w:tc>
          <w:tcPr>
            <w:tcW w:type="dxa" w:w="6560"/>
            <w:vAlign w:val="center"/>
            <w:tcMar>
              <w:top w:w="100" w:type="dxa"/>
              <w:start w:w="120" w:type="dxa"/>
              <w:bottom w:w="100" w:type="dxa"/>
              <w:end w:w="120" w:type="dxa"/>
            </w:tcMar>
          </w:tcPr>
          <w:p>
            <w:pPr>
              <w:spacing w:after="0" w:line="247" w:lineRule="auto"/>
            </w:pPr>
            <w:r>
              <w:rPr>
                <w:color w:val="163342"/>
                <w:sz w:val="16"/>
              </w:rPr>
              <w:t>rebuildReadModel(), detectStuckJobs(), reviseForSourceCorrection()</w:t>
            </w:r>
          </w:p>
        </w:tc>
      </w:tr>
    </w:tbl>
    <w:p>
      <w:pPr>
        <w:spacing w:after="20"/>
      </w:pPr>
    </w:p>
    <w:p>
      <w:pPr>
        <w:pStyle w:val="Heading2"/>
        <w:keepNext/>
      </w:pPr>
      <w:r>
        <w:t>13.2 HTTP API</w:t>
      </w:r>
    </w:p>
    <w:p>
      <w:pPr>
        <w:pStyle w:val="CodeBlock"/>
        <w:shd w:fill="F1F4F7"/>
        <w:pBdr>
          <w:top w:val="single" w:sz="5" w:space="4" w:color="D6DEE6"/>
          <w:left w:val="single" w:sz="5" w:space="4" w:color="D6DEE6"/>
          <w:bottom w:val="single" w:sz="5" w:space="4" w:color="D6DEE6"/>
          <w:right w:val="single" w:sz="5" w:space="4" w:color="D6DEE6"/>
        </w:pBdr>
      </w:pPr>
      <w:r>
        <w:t>GET  /v1/workspaces/{workspaceId}/growth-summary</w:t>
      </w:r>
      <w:r>
        <w:br/>
      </w:r>
      <w:r>
        <w:t>GET  /v1/workspaces/{workspaceId}/reports</w:t>
      </w:r>
      <w:r>
        <w:br/>
      </w:r>
      <w:r>
        <w:t>POST /v1/workspaces/{workspaceId}/reports</w:t>
      </w:r>
      <w:r>
        <w:br/>
      </w:r>
      <w:r>
        <w:t>GET  /v1/reports/{reportId}?revision={n}</w:t>
      </w:r>
      <w:r>
        <w:br/>
      </w:r>
      <w:r>
        <w:t>GET  /v1/reports/{reportId}/history</w:t>
      </w:r>
      <w:r>
        <w:br/>
      </w:r>
      <w:r>
        <w:t>POST /v1/reports/{reportId}/review</w:t>
      </w:r>
      <w:r>
        <w:br/>
      </w:r>
      <w:r>
        <w:t>PATCH /v1/reports/{reportId}/presentation</w:t>
      </w:r>
      <w:r>
        <w:br/>
      </w:r>
      <w:r>
        <w:t>POST /v1/reports/{reportId}/finalize</w:t>
      </w:r>
      <w:r>
        <w:br/>
      </w:r>
      <w:r>
        <w:t>POST /v1/reports/{reportId}/exports/pdf</w:t>
      </w:r>
      <w:r>
        <w:br/>
      </w:r>
      <w:r>
        <w:t>GET  /v1/report-exports/{exportId}</w:t>
      </w:r>
      <w:r>
        <w:br/>
      </w:r>
      <w:r>
        <w:t>GET  /v1/agency/workspaces/{workspaceId}/portfolio</w:t>
      </w:r>
      <w:r>
        <w:br/>
      </w:r>
      <w:r>
        <w:t>GET  /v1/agency/clients/{clientId}/reports</w:t>
      </w:r>
      <w:r>
        <w:br/>
      </w:r>
      <w:r>
        <w:t>GET  /v1/agency/brand-profile</w:t>
      </w:r>
      <w:r>
        <w:br/>
      </w:r>
      <w:r>
        <w:t>PUT  /v1/agency/brand-profile</w:t>
      </w:r>
    </w:p>
    <w:p>
      <w:pPr>
        <w:pStyle w:val="Heading2"/>
        <w:keepNext/>
      </w:pPr>
      <w:r>
        <w:t>13.3 Generate report request example</w:t>
      </w:r>
    </w:p>
    <w:p>
      <w:pPr>
        <w:pStyle w:val="CodeBlock"/>
        <w:shd w:fill="F1F4F7"/>
        <w:pBdr>
          <w:top w:val="single" w:sz="5" w:space="4" w:color="D6DEE6"/>
          <w:left w:val="single" w:sz="5" w:space="4" w:color="D6DEE6"/>
          <w:bottom w:val="single" w:sz="5" w:space="4" w:color="D6DEE6"/>
          <w:right w:val="single" w:sz="5" w:space="4" w:color="D6DEE6"/>
        </w:pBdr>
      </w:pPr>
      <w:r>
        <w:t>POST /v1/workspaces/ws_123/reports</w:t>
      </w:r>
      <w:r>
        <w:br/>
      </w:r>
      <w:r>
        <w:t>Idempotency-Key: rpt-ws123-client77-2026-07</w:t>
      </w:r>
      <w:r>
        <w:br/>
      </w:r>
      <w:r/>
      <w:r>
        <w:br/>
      </w:r>
      <w:r>
        <w:t>{</w:t>
      </w:r>
      <w:r>
        <w:br/>
      </w:r>
      <w:r>
        <w:t xml:space="preserve">  "project_id": "prj_45",</w:t>
      </w:r>
      <w:r>
        <w:br/>
      </w:r>
      <w:r>
        <w:t xml:space="preserve">  "client_id": "client_77",</w:t>
      </w:r>
      <w:r>
        <w:br/>
      </w:r>
      <w:r>
        <w:t xml:space="preserve">  "period": {"start": "2026-07-01", "end": "2026-07-31"},</w:t>
      </w:r>
      <w:r>
        <w:br/>
      </w:r>
      <w:r>
        <w:t xml:space="preserve">  "timezone": "America/Moncton",</w:t>
      </w:r>
      <w:r>
        <w:br/>
      </w:r>
      <w:r>
        <w:t xml:space="preserve">  "comparison_mode": "PREVIOUS_COMPATIBLE_PERIOD",</w:t>
      </w:r>
      <w:r>
        <w:br/>
      </w:r>
      <w:r>
        <w:t xml:space="preserve">  "audience_mode": "AGENCY_CLIENT"</w:t>
      </w:r>
      <w:r>
        <w:br/>
      </w:r>
      <w:r>
        <w:t>}</w:t>
      </w:r>
      <w:r>
        <w:br/>
      </w:r>
      <w:r/>
      <w:r>
        <w:br/>
      </w:r>
      <w:r>
        <w:t>202 Accepted</w:t>
      </w:r>
      <w:r>
        <w:br/>
      </w:r>
      <w:r>
        <w:t>{</w:t>
      </w:r>
      <w:r>
        <w:br/>
      </w:r>
      <w:r>
        <w:t xml:space="preserve">  "operation_id": "op_rpt_901",</w:t>
      </w:r>
      <w:r>
        <w:br/>
      </w:r>
      <w:r>
        <w:t xml:space="preserve">  "status": "REQUESTED",</w:t>
      </w:r>
      <w:r>
        <w:br/>
      </w:r>
      <w:r>
        <w:t xml:space="preserve">  "report_id": "rpt_321"</w:t>
      </w:r>
      <w:r>
        <w:br/>
      </w:r>
      <w:r>
        <w:t>}</w:t>
      </w:r>
    </w:p>
    <w:p>
      <w:pPr>
        <w:pStyle w:val="Heading2"/>
        <w:keepNext/>
      </w:pPr>
      <w:r>
        <w:t>13.4 Domain events</w:t>
      </w:r>
    </w:p>
    <w:p>
      <w:pPr>
        <w:pStyle w:val="ListBullet"/>
      </w:pPr>
      <w:r>
        <w:t>GrowthReportRequested, GrowthReportValidationFailed, GrowthReportDrafted.</w:t>
      </w:r>
    </w:p>
    <w:p>
      <w:pPr>
        <w:pStyle w:val="ListBullet"/>
      </w:pPr>
      <w:r>
        <w:t>GrowthReportReadyForReview, GrowthReportFinalized, GrowthReportLimited.</w:t>
      </w:r>
    </w:p>
    <w:p>
      <w:pPr>
        <w:pStyle w:val="ListBullet"/>
      </w:pPr>
      <w:r>
        <w:t>GrowthReportCreated, GrowthReportRevised, GrowthReportSuperseded.</w:t>
      </w:r>
    </w:p>
    <w:p>
      <w:pPr>
        <w:pStyle w:val="ListBullet"/>
      </w:pPr>
      <w:r>
        <w:t>GrowthReportExportRequested, GrowthReportExportReady, GrowthReportExportFailed.</w:t>
      </w:r>
    </w:p>
    <w:p>
      <w:pPr>
        <w:pStyle w:val="ListBullet"/>
      </w:pPr>
      <w:r>
        <w:t>AgencyBrandProfileVersionCreated, AgencyPortfolioReadModelUpdated.</w:t>
      </w:r>
    </w:p>
    <w:p>
      <w:r>
        <w:t>Every event uses the platform event envelope with event_id, schema_version, workspace/project/client scope, actor, occurred_at, correlation_id, causation_id and idempotency identity. Consumers must tolerate duplicate and out-of-order delivery.</w:t>
      </w:r>
    </w:p>
    <w:p>
      <w:pPr>
        <w:pStyle w:val="Heading2"/>
        <w:keepNext/>
      </w:pPr>
      <w:r>
        <w:t>13.5 Events consumed</w:t>
      </w:r>
    </w:p>
    <w:p>
      <w:pPr>
        <w:pStyle w:val="ListBullet"/>
      </w:pPr>
      <w:r>
        <w:t>ExecutionVerified, ExecutionFailed, ExecutionRolledBack.</w:t>
      </w:r>
    </w:p>
    <w:p>
      <w:pPr>
        <w:pStyle w:val="ListBullet"/>
      </w:pPr>
      <w:r>
        <w:t>EvaluationCompleted, EvaluationLimited, EvaluationRevised.</w:t>
      </w:r>
    </w:p>
    <w:p>
      <w:pPr>
        <w:pStyle w:val="ListBullet"/>
      </w:pPr>
      <w:r>
        <w:t>DiagnosticFindingCreated/Superseded and GrowthOpportunityCreated/Rescored/Stale.</w:t>
      </w:r>
    </w:p>
    <w:p>
      <w:pPr>
        <w:pStyle w:val="ListBullet"/>
      </w:pPr>
      <w:r>
        <w:t>GrowthBlueprintPatched and NextBestActionChanged.</w:t>
      </w:r>
    </w:p>
    <w:p>
      <w:pPr>
        <w:pStyle w:val="ListBullet"/>
      </w:pPr>
      <w:r>
        <w:t>SourceDelayed/Recovered, DataQualityIncidentOpened/Resolved and consent/retention events.</w:t>
      </w:r>
    </w:p>
    <w:p>
      <w:pPr>
        <w:pStyle w:val="Heading1"/>
        <w:keepNext/>
      </w:pPr>
      <w:r>
        <w:t>14. Security, Privacy and Isolation</w:t>
      </w:r>
    </w:p>
    <w:p>
      <w:pPr>
        <w:pStyle w:val="Heading2"/>
        <w:keepNext/>
      </w:pPr>
      <w:r>
        <w:t>14.1 Mandatory controls</w:t>
      </w:r>
    </w:p>
    <w:p>
      <w:pPr>
        <w:pStyle w:val="ListBullet"/>
      </w:pPr>
      <w:r>
        <w:t>Use object-level authorization on every report, revision, evidence link, brand profile and export.</w:t>
      </w:r>
    </w:p>
    <w:p>
      <w:pPr>
        <w:pStyle w:val="ListBullet"/>
      </w:pPr>
      <w:r>
        <w:t>Apply workspace and client predicates before aggregation, not after the result is built.</w:t>
      </w:r>
    </w:p>
    <w:p>
      <w:pPr>
        <w:pStyle w:val="ListBullet"/>
      </w:pPr>
      <w:r>
        <w:t>Pass a scoped Context Bundle to AI; never pass broad data exports or another client’s records.</w:t>
      </w:r>
    </w:p>
    <w:p>
      <w:pPr>
        <w:pStyle w:val="ListBullet"/>
      </w:pPr>
      <w:r>
        <w:t>Keep credentials, API tokens, raw sensitive form values, unrestricted CRM notes and unmasked recordings out of snapshots, prompts, PDFs, logs and support bundles.</w:t>
      </w:r>
    </w:p>
    <w:p>
      <w:pPr>
        <w:pStyle w:val="ListBullet"/>
      </w:pPr>
      <w:r>
        <w:t>Suppress or coarsen small sensitive segments according to privacy policy.</w:t>
      </w:r>
    </w:p>
    <w:p>
      <w:pPr>
        <w:pStyle w:val="ListBullet"/>
      </w:pPr>
      <w:r>
        <w:t>Treat uploaded Agency logos, footer text and source content as untrusted input. Scan assets and escape text in HTML/PDF templates.</w:t>
      </w:r>
    </w:p>
    <w:p>
      <w:pPr>
        <w:pStyle w:val="ListBullet"/>
      </w:pPr>
      <w:r>
        <w:t>Use short-lived authorized download URLs and log export access without recording the URL.</w:t>
      </w:r>
    </w:p>
    <w:p>
      <w:pPr>
        <w:pStyle w:val="ListBullet"/>
      </w:pPr>
      <w:r>
        <w:t>Propagate deletion, retention and consent changes through read models and exports according to policy while preserving lawful audit history.</w:t>
      </w:r>
    </w:p>
    <w:p>
      <w:pPr>
        <w:pStyle w:val="Heading2"/>
        <w:keepNext/>
      </w:pPr>
      <w:r>
        <w:t>14.2 Prompt injection protection</w:t>
      </w:r>
    </w:p>
    <w:p>
      <w:r>
        <w:t>Website content, CRM notes, client-entered text and imported reports may contain instructions. The context builder labels them as evidence content and strips or isolates executable instructions. No retrieved text can change system policy, tools, permissions, metric selection or report audience.</w:t>
      </w:r>
    </w:p>
    <w:p>
      <w:pPr>
        <w:pStyle w:val="Heading2"/>
        <w:keepNext/>
      </w:pPr>
      <w:r>
        <w:t>14.3 Client boundary test</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Required security test  </w:t>
      </w:r>
      <w:r>
        <w:t>Create two Agency clients with similar report IDs. Authenticate as Client A’s Client Viewer and request Client B’s report, evidence link and PDF export. Every path must return a non-enumerating denial, create no AI task and disclose no metadata about Client B.</w:t>
      </w:r>
    </w:p>
    <w:p>
      <w:pPr>
        <w:pStyle w:val="Heading1"/>
        <w:keepNext/>
      </w:pPr>
      <w:r>
        <w:t>15. Reliability, Revisions and Reconciliation</w:t>
      </w:r>
    </w:p>
    <w:p>
      <w:pPr>
        <w:pStyle w:val="Heading2"/>
        <w:keepNext/>
      </w:pPr>
      <w:r>
        <w:t>15.1 Durable generation</w:t>
      </w:r>
    </w:p>
    <w:p>
      <w:pPr>
        <w:pStyle w:val="ListBullet"/>
      </w:pPr>
      <w:r>
        <w:t>Generation, narrative and PDF work use durable queues, leases, checkpoints and bounded retries.</w:t>
      </w:r>
    </w:p>
    <w:p>
      <w:pPr>
        <w:pStyle w:val="ListBullet"/>
      </w:pPr>
      <w:r>
        <w:t>Accepted source data and completed report stages survive worker restarts.</w:t>
      </w:r>
    </w:p>
    <w:p>
      <w:pPr>
        <w:pStyle w:val="ListBullet"/>
      </w:pPr>
      <w:r>
        <w:t>Provider or AI degradation applies backpressure and deterministic fallback; it does not create retry storms.</w:t>
      </w:r>
    </w:p>
    <w:p>
      <w:pPr>
        <w:pStyle w:val="ListBullet"/>
      </w:pPr>
      <w:r>
        <w:t>Report requests return stable operation IDs. The UI polls or subscribes to authoritative operation state.</w:t>
      </w:r>
    </w:p>
    <w:p>
      <w:pPr>
        <w:pStyle w:val="ListBullet"/>
      </w:pPr>
      <w:r>
        <w:t>Database uniqueness and content hashes prevent duplicate revisions and duplicate AI Capacity settlement.</w:t>
      </w:r>
    </w:p>
    <w:p>
      <w:pPr>
        <w:pStyle w:val="Heading2"/>
        <w:keepNext/>
      </w:pPr>
      <w:r>
        <w:t>15.2 Revision triggers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3100"/>
        <w:gridCol w:w="6260"/>
      </w:tblGrid>
      <w:tr>
        <w:trPr>
          <w:tblHeader w:val="true"/>
        </w:trPr>
        <w:tc>
          <w:tcPr>
            <w:tcW w:type="dxa" w:w="3100"/>
            <w:shd w:fill="EAF2F8"/>
            <w:vAlign w:val="center"/>
            <w:tcMar>
              <w:top w:w="100" w:type="dxa"/>
              <w:start w:w="120" w:type="dxa"/>
              <w:bottom w:w="100" w:type="dxa"/>
              <w:end w:w="120" w:type="dxa"/>
            </w:tcMar>
          </w:tcPr>
          <w:p>
            <w:r>
              <w:rPr>
                <w:b/>
                <w:color w:val="10243E"/>
                <w:sz w:val="17"/>
              </w:rPr>
              <w:t>Trigger</w:t>
            </w:r>
          </w:p>
        </w:tc>
        <w:tc>
          <w:tcPr>
            <w:tcW w:type="dxa" w:w="6260"/>
            <w:shd w:fill="EAF2F8"/>
            <w:vAlign w:val="center"/>
            <w:tcMar>
              <w:top w:w="100" w:type="dxa"/>
              <w:start w:w="120" w:type="dxa"/>
              <w:bottom w:w="100" w:type="dxa"/>
              <w:end w:w="120" w:type="dxa"/>
            </w:tcMar>
          </w:tcPr>
          <w:p>
            <w:r>
              <w:rPr>
                <w:b/>
                <w:color w:val="10243E"/>
                <w:sz w:val="17"/>
              </w:rPr>
              <w:t>Required behavior</w:t>
            </w:r>
          </w:p>
        </w:tc>
      </w:tr>
      <w:tr>
        <w:tc>
          <w:tcPr>
            <w:tcW w:type="dxa" w:w="3100"/>
            <w:vAlign w:val="center"/>
            <w:tcMar>
              <w:top w:w="100" w:type="dxa"/>
              <w:start w:w="120" w:type="dxa"/>
              <w:bottom w:w="100" w:type="dxa"/>
              <w:end w:w="120" w:type="dxa"/>
            </w:tcMar>
          </w:tcPr>
          <w:p>
            <w:pPr>
              <w:spacing w:after="0" w:line="247" w:lineRule="auto"/>
            </w:pPr>
            <w:r>
              <w:rPr>
                <w:color w:val="163342"/>
                <w:sz w:val="17"/>
              </w:rPr>
              <w:t>Late or corrected source data changes a material result</w:t>
            </w:r>
          </w:p>
        </w:tc>
        <w:tc>
          <w:tcPr>
            <w:tcW w:type="dxa" w:w="6260"/>
            <w:vAlign w:val="center"/>
            <w:tcMar>
              <w:top w:w="100" w:type="dxa"/>
              <w:start w:w="120" w:type="dxa"/>
              <w:bottom w:w="100" w:type="dxa"/>
              <w:end w:w="120" w:type="dxa"/>
            </w:tcMar>
          </w:tcPr>
          <w:p>
            <w:pPr>
              <w:spacing w:after="0" w:line="247" w:lineRule="auto"/>
            </w:pPr>
            <w:r>
              <w:rPr>
                <w:color w:val="163342"/>
                <w:sz w:val="17"/>
              </w:rPr>
              <w:t>Create a new evaluation and report revision with visible reason.</w:t>
            </w:r>
          </w:p>
        </w:tc>
      </w:tr>
      <w:tr>
        <w:tc>
          <w:tcPr>
            <w:tcW w:type="dxa" w:w="3100"/>
            <w:vAlign w:val="center"/>
            <w:tcMar>
              <w:top w:w="100" w:type="dxa"/>
              <w:start w:w="120" w:type="dxa"/>
              <w:bottom w:w="100" w:type="dxa"/>
              <w:end w:w="120" w:type="dxa"/>
            </w:tcMar>
          </w:tcPr>
          <w:p>
            <w:pPr>
              <w:spacing w:after="0" w:line="247" w:lineRule="auto"/>
            </w:pPr>
            <w:r>
              <w:rPr>
                <w:color w:val="163342"/>
                <w:sz w:val="17"/>
              </w:rPr>
              <w:t>CRM outcome matures</w:t>
            </w:r>
          </w:p>
        </w:tc>
        <w:tc>
          <w:tcPr>
            <w:tcW w:type="dxa" w:w="6260"/>
            <w:vAlign w:val="center"/>
            <w:tcMar>
              <w:top w:w="100" w:type="dxa"/>
              <w:start w:w="120" w:type="dxa"/>
              <w:bottom w:w="100" w:type="dxa"/>
              <w:end w:w="120" w:type="dxa"/>
            </w:tcMar>
          </w:tcPr>
          <w:p>
            <w:pPr>
              <w:spacing w:after="0" w:line="247" w:lineRule="auto"/>
            </w:pPr>
            <w:r>
              <w:rPr>
                <w:color w:val="163342"/>
                <w:sz w:val="17"/>
              </w:rPr>
              <w:t>Create a revision when classification, impact or Next Best Action materially changes.</w:t>
            </w:r>
          </w:p>
        </w:tc>
      </w:tr>
      <w:tr>
        <w:tc>
          <w:tcPr>
            <w:tcW w:type="dxa" w:w="3100"/>
            <w:vAlign w:val="center"/>
            <w:tcMar>
              <w:top w:w="100" w:type="dxa"/>
              <w:start w:w="120" w:type="dxa"/>
              <w:bottom w:w="100" w:type="dxa"/>
              <w:end w:w="120" w:type="dxa"/>
            </w:tcMar>
          </w:tcPr>
          <w:p>
            <w:pPr>
              <w:spacing w:after="0" w:line="247" w:lineRule="auto"/>
            </w:pPr>
            <w:r>
              <w:rPr>
                <w:color w:val="163342"/>
                <w:sz w:val="17"/>
              </w:rPr>
              <w:t>Metric definition/instrumentation boundary</w:t>
            </w:r>
          </w:p>
        </w:tc>
        <w:tc>
          <w:tcPr>
            <w:tcW w:type="dxa" w:w="6260"/>
            <w:vAlign w:val="center"/>
            <w:tcMar>
              <w:top w:w="100" w:type="dxa"/>
              <w:start w:w="120" w:type="dxa"/>
              <w:bottom w:w="100" w:type="dxa"/>
              <w:end w:w="120" w:type="dxa"/>
            </w:tcMar>
          </w:tcPr>
          <w:p>
            <w:pPr>
              <w:spacing w:after="0" w:line="247" w:lineRule="auto"/>
            </w:pPr>
            <w:r>
              <w:rPr>
                <w:color w:val="163342"/>
                <w:sz w:val="17"/>
              </w:rPr>
              <w:t>Do not bridge incompatible periods; revise report with boundary explanation.</w:t>
            </w:r>
          </w:p>
        </w:tc>
      </w:tr>
      <w:tr>
        <w:tc>
          <w:tcPr>
            <w:tcW w:type="dxa" w:w="3100"/>
            <w:vAlign w:val="center"/>
            <w:tcMar>
              <w:top w:w="100" w:type="dxa"/>
              <w:start w:w="120" w:type="dxa"/>
              <w:bottom w:w="100" w:type="dxa"/>
              <w:end w:w="120" w:type="dxa"/>
            </w:tcMar>
          </w:tcPr>
          <w:p>
            <w:pPr>
              <w:spacing w:after="0" w:line="247" w:lineRule="auto"/>
            </w:pPr>
            <w:r>
              <w:rPr>
                <w:color w:val="163342"/>
                <w:sz w:val="17"/>
              </w:rPr>
              <w:t>Agency changes title/opening note before finalization</w:t>
            </w:r>
          </w:p>
        </w:tc>
        <w:tc>
          <w:tcPr>
            <w:tcW w:type="dxa" w:w="6260"/>
            <w:vAlign w:val="center"/>
            <w:tcMar>
              <w:top w:w="100" w:type="dxa"/>
              <w:start w:w="120" w:type="dxa"/>
              <w:bottom w:w="100" w:type="dxa"/>
              <w:end w:w="120" w:type="dxa"/>
            </w:tcMar>
          </w:tcPr>
          <w:p>
            <w:pPr>
              <w:spacing w:after="0" w:line="247" w:lineRule="auto"/>
            </w:pPr>
            <w:r>
              <w:rPr>
                <w:color w:val="163342"/>
                <w:sz w:val="17"/>
              </w:rPr>
              <w:t>Update draft presentation override; no new metric snapshot.</w:t>
            </w:r>
          </w:p>
        </w:tc>
      </w:tr>
      <w:tr>
        <w:tc>
          <w:tcPr>
            <w:tcW w:type="dxa" w:w="3100"/>
            <w:vAlign w:val="center"/>
            <w:tcMar>
              <w:top w:w="100" w:type="dxa"/>
              <w:start w:w="120" w:type="dxa"/>
              <w:bottom w:w="100" w:type="dxa"/>
              <w:end w:w="120" w:type="dxa"/>
            </w:tcMar>
          </w:tcPr>
          <w:p>
            <w:pPr>
              <w:spacing w:after="0" w:line="247" w:lineRule="auto"/>
            </w:pPr>
            <w:r>
              <w:rPr>
                <w:color w:val="163342"/>
                <w:sz w:val="17"/>
              </w:rPr>
              <w:t>Agency changes branding after finalization</w:t>
            </w:r>
          </w:p>
        </w:tc>
        <w:tc>
          <w:tcPr>
            <w:tcW w:type="dxa" w:w="6260"/>
            <w:vAlign w:val="center"/>
            <w:tcMar>
              <w:top w:w="100" w:type="dxa"/>
              <w:start w:w="120" w:type="dxa"/>
              <w:bottom w:w="100" w:type="dxa"/>
              <w:end w:w="120" w:type="dxa"/>
            </w:tcMar>
          </w:tcPr>
          <w:p>
            <w:pPr>
              <w:spacing w:after="0" w:line="247" w:lineRule="auto"/>
            </w:pPr>
            <w:r>
              <w:rPr>
                <w:color w:val="163342"/>
                <w:sz w:val="17"/>
              </w:rPr>
              <w:t>Existing PDF remains tied to old brand version; a new export may use a reviewed new presentation revision.</w:t>
            </w:r>
          </w:p>
        </w:tc>
      </w:tr>
      <w:tr>
        <w:tc>
          <w:tcPr>
            <w:tcW w:type="dxa" w:w="3100"/>
            <w:vAlign w:val="center"/>
            <w:tcMar>
              <w:top w:w="100" w:type="dxa"/>
              <w:start w:w="120" w:type="dxa"/>
              <w:bottom w:w="100" w:type="dxa"/>
              <w:end w:w="120" w:type="dxa"/>
            </w:tcMar>
          </w:tcPr>
          <w:p>
            <w:pPr>
              <w:spacing w:after="0" w:line="247" w:lineRule="auto"/>
            </w:pPr>
            <w:r>
              <w:rPr>
                <w:color w:val="163342"/>
                <w:sz w:val="17"/>
              </w:rPr>
              <w:t>AI narrative corrected without source change</w:t>
            </w:r>
          </w:p>
        </w:tc>
        <w:tc>
          <w:tcPr>
            <w:tcW w:type="dxa" w:w="6260"/>
            <w:vAlign w:val="center"/>
            <w:tcMar>
              <w:top w:w="100" w:type="dxa"/>
              <w:start w:w="120" w:type="dxa"/>
              <w:bottom w:w="100" w:type="dxa"/>
              <w:end w:w="120" w:type="dxa"/>
            </w:tcMar>
          </w:tcPr>
          <w:p>
            <w:pPr>
              <w:spacing w:after="0" w:line="247" w:lineRule="auto"/>
            </w:pPr>
            <w:r>
              <w:rPr>
                <w:color w:val="163342"/>
                <w:sz w:val="17"/>
              </w:rPr>
              <w:t>Create a narrative/presentation revision and record reason; preserve prior export.</w:t>
            </w:r>
          </w:p>
        </w:tc>
      </w:tr>
    </w:tbl>
    <w:p>
      <w:pPr>
        <w:spacing w:after="20"/>
      </w:pPr>
    </w:p>
    <w:p>
      <w:pPr>
        <w:pStyle w:val="Heading2"/>
        <w:keepNext/>
      </w:pPr>
      <w:r>
        <w:t>15.3 Visible revision history</w:t>
      </w:r>
    </w:p>
    <w:p>
      <w:r>
        <w:t>The report History view shows revision number, finalized time, author/system actor, revision reason and whether the change affected results, narrative only or branding. A superseded report remains viewable to authorized users and is clearly labelled “Superseded by revision N.”</w:t>
      </w:r>
    </w:p>
    <w:p>
      <w:pPr>
        <w:pStyle w:val="Heading2"/>
        <w:keepNext/>
      </w:pPr>
      <w:r>
        <w:t>15.4 Reconciliation jobs</w:t>
      </w:r>
    </w:p>
    <w:p>
      <w:pPr>
        <w:pStyle w:val="ListBullet"/>
      </w:pPr>
      <w:r>
        <w:t>Detect report operations stuck beyond state-specific lease thresholds.</w:t>
      </w:r>
    </w:p>
    <w:p>
      <w:pPr>
        <w:pStyle w:val="ListBullet"/>
      </w:pPr>
      <w:r>
        <w:t>Rebuild read models from immutable snapshots and events.</w:t>
      </w:r>
    </w:p>
    <w:p>
      <w:pPr>
        <w:pStyle w:val="ListBullet"/>
      </w:pPr>
      <w:r>
        <w:t>Detect an export whose file/hash does not match its ReportExport record and regenerate safely.</w:t>
      </w:r>
    </w:p>
    <w:p>
      <w:pPr>
        <w:pStyle w:val="ListBullet"/>
      </w:pPr>
      <w:r>
        <w:t>Detect current_revision pointers that do not reference the latest finalized revision.</w:t>
      </w:r>
    </w:p>
    <w:p>
      <w:pPr>
        <w:pStyle w:val="ListBullet"/>
      </w:pPr>
      <w:r>
        <w:t>Release orphaned AI Capacity reservations after terminal failure.</w:t>
      </w:r>
    </w:p>
    <w:p>
      <w:pPr>
        <w:pStyle w:val="ListBullet"/>
      </w:pPr>
      <w:r>
        <w:t>Never invent missing evidence or silently mark a failed report successful.</w:t>
      </w:r>
    </w:p>
    <w:p>
      <w:pPr>
        <w:pStyle w:val="Heading1"/>
        <w:keepNext/>
      </w:pPr>
      <w:r>
        <w:t>16. User Interface States and Messages</w:t>
      </w:r>
    </w:p>
    <w:p>
      <w:r>
        <w:t>All reporting interfaces must explain the current state in plain language. A blank chart, zero value or endless spinner is not an acceptable error state.</w:t>
      </w:r>
    </w:p>
    <w:p>
      <w:pPr>
        <w:pStyle w:val="Heading2"/>
        <w:keepNext/>
      </w:pPr>
      <w:r>
        <w:t>16.1 Growth Summary states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1800"/>
        <w:gridCol w:w="5200"/>
        <w:gridCol w:w="2360"/>
      </w:tblGrid>
      <w:tr>
        <w:trPr>
          <w:tblHeader w:val="true"/>
        </w:trPr>
        <w:tc>
          <w:tcPr>
            <w:tcW w:type="dxa" w:w="1800"/>
            <w:shd w:fill="EAF2F8"/>
            <w:vAlign w:val="center"/>
            <w:tcMar>
              <w:top w:w="100" w:type="dxa"/>
              <w:start w:w="120" w:type="dxa"/>
              <w:bottom w:w="100" w:type="dxa"/>
              <w:end w:w="120" w:type="dxa"/>
            </w:tcMar>
          </w:tcPr>
          <w:p>
            <w:r>
              <w:rPr>
                <w:b/>
                <w:color w:val="10243E"/>
                <w:sz w:val="17"/>
              </w:rPr>
              <w:t>State</w:t>
            </w:r>
          </w:p>
        </w:tc>
        <w:tc>
          <w:tcPr>
            <w:tcW w:type="dxa" w:w="5200"/>
            <w:shd w:fill="EAF2F8"/>
            <w:vAlign w:val="center"/>
            <w:tcMar>
              <w:top w:w="100" w:type="dxa"/>
              <w:start w:w="120" w:type="dxa"/>
              <w:bottom w:w="100" w:type="dxa"/>
              <w:end w:w="120" w:type="dxa"/>
            </w:tcMar>
          </w:tcPr>
          <w:p>
            <w:r>
              <w:rPr>
                <w:b/>
                <w:color w:val="10243E"/>
                <w:sz w:val="17"/>
              </w:rPr>
              <w:t>User message</w:t>
            </w:r>
          </w:p>
        </w:tc>
        <w:tc>
          <w:tcPr>
            <w:tcW w:type="dxa" w:w="2360"/>
            <w:shd w:fill="EAF2F8"/>
            <w:vAlign w:val="center"/>
            <w:tcMar>
              <w:top w:w="100" w:type="dxa"/>
              <w:start w:w="120" w:type="dxa"/>
              <w:bottom w:w="100" w:type="dxa"/>
              <w:end w:w="120" w:type="dxa"/>
            </w:tcMar>
          </w:tcPr>
          <w:p>
            <w:r>
              <w:rPr>
                <w:b/>
                <w:color w:val="10243E"/>
                <w:sz w:val="17"/>
              </w:rPr>
              <w:t>Primary action</w:t>
            </w:r>
          </w:p>
        </w:tc>
      </w:tr>
      <w:tr>
        <w:tc>
          <w:tcPr>
            <w:tcW w:type="dxa" w:w="1800"/>
            <w:vAlign w:val="center"/>
            <w:tcMar>
              <w:top w:w="100" w:type="dxa"/>
              <w:start w:w="120" w:type="dxa"/>
              <w:bottom w:w="100" w:type="dxa"/>
              <w:end w:w="120" w:type="dxa"/>
            </w:tcMar>
          </w:tcPr>
          <w:p>
            <w:pPr>
              <w:spacing w:after="0" w:line="247" w:lineRule="auto"/>
            </w:pPr>
            <w:r>
              <w:rPr>
                <w:color w:val="163342"/>
                <w:sz w:val="17"/>
              </w:rPr>
              <w:t>No integrations</w:t>
            </w:r>
          </w:p>
        </w:tc>
        <w:tc>
          <w:tcPr>
            <w:tcW w:type="dxa" w:w="5200"/>
            <w:vAlign w:val="center"/>
            <w:tcMar>
              <w:top w:w="100" w:type="dxa"/>
              <w:start w:w="120" w:type="dxa"/>
              <w:bottom w:w="100" w:type="dxa"/>
              <w:end w:w="120" w:type="dxa"/>
            </w:tcMar>
          </w:tcPr>
          <w:p>
            <w:pPr>
              <w:spacing w:after="0" w:line="247" w:lineRule="auto"/>
            </w:pPr>
            <w:r>
              <w:rPr>
                <w:color w:val="163342"/>
                <w:sz w:val="17"/>
              </w:rPr>
              <w:t>Connect a data source to begin measuring results.</w:t>
            </w:r>
          </w:p>
        </w:tc>
        <w:tc>
          <w:tcPr>
            <w:tcW w:type="dxa" w:w="2360"/>
            <w:vAlign w:val="center"/>
            <w:tcMar>
              <w:top w:w="100" w:type="dxa"/>
              <w:start w:w="120" w:type="dxa"/>
              <w:bottom w:w="100" w:type="dxa"/>
              <w:end w:w="120" w:type="dxa"/>
            </w:tcMar>
          </w:tcPr>
          <w:p>
            <w:pPr>
              <w:spacing w:after="0" w:line="247" w:lineRule="auto"/>
            </w:pPr>
            <w:r>
              <w:rPr>
                <w:color w:val="163342"/>
                <w:sz w:val="17"/>
              </w:rPr>
              <w:t>Connect Data</w:t>
            </w:r>
          </w:p>
        </w:tc>
      </w:tr>
      <w:tr>
        <w:tc>
          <w:tcPr>
            <w:tcW w:type="dxa" w:w="1800"/>
            <w:vAlign w:val="center"/>
            <w:tcMar>
              <w:top w:w="100" w:type="dxa"/>
              <w:start w:w="120" w:type="dxa"/>
              <w:bottom w:w="100" w:type="dxa"/>
              <w:end w:w="120" w:type="dxa"/>
            </w:tcMar>
          </w:tcPr>
          <w:p>
            <w:pPr>
              <w:spacing w:after="0" w:line="247" w:lineRule="auto"/>
            </w:pPr>
            <w:r>
              <w:rPr>
                <w:color w:val="163342"/>
                <w:sz w:val="17"/>
              </w:rPr>
              <w:t>Collecting data</w:t>
            </w:r>
          </w:p>
        </w:tc>
        <w:tc>
          <w:tcPr>
            <w:tcW w:type="dxa" w:w="5200"/>
            <w:vAlign w:val="center"/>
            <w:tcMar>
              <w:top w:w="100" w:type="dxa"/>
              <w:start w:w="120" w:type="dxa"/>
              <w:bottom w:w="100" w:type="dxa"/>
              <w:end w:w="120" w:type="dxa"/>
            </w:tcMar>
          </w:tcPr>
          <w:p>
            <w:pPr>
              <w:spacing w:after="0" w:line="247" w:lineRule="auto"/>
            </w:pPr>
            <w:r>
              <w:rPr>
                <w:color w:val="163342"/>
                <w:sz w:val="17"/>
              </w:rPr>
              <w:t>SEnuke AI is collecting enough information to evaluate this work.</w:t>
            </w:r>
          </w:p>
        </w:tc>
        <w:tc>
          <w:tcPr>
            <w:tcW w:type="dxa" w:w="2360"/>
            <w:vAlign w:val="center"/>
            <w:tcMar>
              <w:top w:w="100" w:type="dxa"/>
              <w:start w:w="120" w:type="dxa"/>
              <w:bottom w:w="100" w:type="dxa"/>
              <w:end w:w="120" w:type="dxa"/>
            </w:tcMar>
          </w:tcPr>
          <w:p>
            <w:pPr>
              <w:spacing w:after="0" w:line="247" w:lineRule="auto"/>
            </w:pPr>
            <w:r>
              <w:rPr>
                <w:color w:val="163342"/>
                <w:sz w:val="17"/>
              </w:rPr>
              <w:t>View Measurement Plan</w:t>
            </w:r>
          </w:p>
        </w:tc>
      </w:tr>
      <w:tr>
        <w:tc>
          <w:tcPr>
            <w:tcW w:type="dxa" w:w="1800"/>
            <w:vAlign w:val="center"/>
            <w:tcMar>
              <w:top w:w="100" w:type="dxa"/>
              <w:start w:w="120" w:type="dxa"/>
              <w:bottom w:w="100" w:type="dxa"/>
              <w:end w:w="120" w:type="dxa"/>
            </w:tcMar>
          </w:tcPr>
          <w:p>
            <w:pPr>
              <w:spacing w:after="0" w:line="247" w:lineRule="auto"/>
            </w:pPr>
            <w:r>
              <w:rPr>
                <w:color w:val="163342"/>
                <w:sz w:val="17"/>
              </w:rPr>
              <w:t>Data limited</w:t>
            </w:r>
          </w:p>
        </w:tc>
        <w:tc>
          <w:tcPr>
            <w:tcW w:type="dxa" w:w="5200"/>
            <w:vAlign w:val="center"/>
            <w:tcMar>
              <w:top w:w="100" w:type="dxa"/>
              <w:start w:w="120" w:type="dxa"/>
              <w:bottom w:w="100" w:type="dxa"/>
              <w:end w:w="120" w:type="dxa"/>
            </w:tcMar>
          </w:tcPr>
          <w:p>
            <w:pPr>
              <w:spacing w:after="0" w:line="247" w:lineRule="auto"/>
            </w:pPr>
            <w:r>
              <w:rPr>
                <w:color w:val="163342"/>
                <w:sz w:val="17"/>
              </w:rPr>
              <w:t>Some results cannot be evaluated because data is unavailable or restricted.</w:t>
            </w:r>
          </w:p>
        </w:tc>
        <w:tc>
          <w:tcPr>
            <w:tcW w:type="dxa" w:w="2360"/>
            <w:vAlign w:val="center"/>
            <w:tcMar>
              <w:top w:w="100" w:type="dxa"/>
              <w:start w:w="120" w:type="dxa"/>
              <w:bottom w:w="100" w:type="dxa"/>
              <w:end w:w="120" w:type="dxa"/>
            </w:tcMar>
          </w:tcPr>
          <w:p>
            <w:pPr>
              <w:spacing w:after="0" w:line="247" w:lineRule="auto"/>
            </w:pPr>
            <w:r>
              <w:rPr>
                <w:color w:val="163342"/>
                <w:sz w:val="17"/>
              </w:rPr>
              <w:t>View Limitation</w:t>
            </w:r>
          </w:p>
        </w:tc>
      </w:tr>
      <w:tr>
        <w:tc>
          <w:tcPr>
            <w:tcW w:type="dxa" w:w="1800"/>
            <w:vAlign w:val="center"/>
            <w:tcMar>
              <w:top w:w="100" w:type="dxa"/>
              <w:start w:w="120" w:type="dxa"/>
              <w:bottom w:w="100" w:type="dxa"/>
              <w:end w:w="120" w:type="dxa"/>
            </w:tcMar>
          </w:tcPr>
          <w:p>
            <w:pPr>
              <w:spacing w:after="0" w:line="247" w:lineRule="auto"/>
            </w:pPr>
            <w:r>
              <w:rPr>
                <w:color w:val="163342"/>
                <w:sz w:val="17"/>
              </w:rPr>
              <w:t>No active strategy</w:t>
            </w:r>
          </w:p>
        </w:tc>
        <w:tc>
          <w:tcPr>
            <w:tcW w:type="dxa" w:w="5200"/>
            <w:vAlign w:val="center"/>
            <w:tcMar>
              <w:top w:w="100" w:type="dxa"/>
              <w:start w:w="120" w:type="dxa"/>
              <w:bottom w:w="100" w:type="dxa"/>
              <w:end w:w="120" w:type="dxa"/>
            </w:tcMar>
          </w:tcPr>
          <w:p>
            <w:pPr>
              <w:spacing w:after="0" w:line="247" w:lineRule="auto"/>
            </w:pPr>
            <w:r>
              <w:rPr>
                <w:color w:val="163342"/>
                <w:sz w:val="17"/>
              </w:rPr>
              <w:t>Approve a Growth Strategy before results can be evaluated against goals.</w:t>
            </w:r>
          </w:p>
        </w:tc>
        <w:tc>
          <w:tcPr>
            <w:tcW w:type="dxa" w:w="2360"/>
            <w:vAlign w:val="center"/>
            <w:tcMar>
              <w:top w:w="100" w:type="dxa"/>
              <w:start w:w="120" w:type="dxa"/>
              <w:bottom w:w="100" w:type="dxa"/>
              <w:end w:w="120" w:type="dxa"/>
            </w:tcMar>
          </w:tcPr>
          <w:p>
            <w:pPr>
              <w:spacing w:after="0" w:line="247" w:lineRule="auto"/>
            </w:pPr>
            <w:r>
              <w:rPr>
                <w:color w:val="163342"/>
                <w:sz w:val="17"/>
              </w:rPr>
              <w:t>Review Strategy</w:t>
            </w:r>
          </w:p>
        </w:tc>
      </w:tr>
      <w:tr>
        <w:tc>
          <w:tcPr>
            <w:tcW w:type="dxa" w:w="1800"/>
            <w:vAlign w:val="center"/>
            <w:tcMar>
              <w:top w:w="100" w:type="dxa"/>
              <w:start w:w="120" w:type="dxa"/>
              <w:bottom w:w="100" w:type="dxa"/>
              <w:end w:w="120" w:type="dxa"/>
            </w:tcMar>
          </w:tcPr>
          <w:p>
            <w:pPr>
              <w:spacing w:after="0" w:line="247" w:lineRule="auto"/>
            </w:pPr>
            <w:r>
              <w:rPr>
                <w:color w:val="163342"/>
                <w:sz w:val="17"/>
              </w:rPr>
              <w:t>No valid action</w:t>
            </w:r>
          </w:p>
        </w:tc>
        <w:tc>
          <w:tcPr>
            <w:tcW w:type="dxa" w:w="5200"/>
            <w:vAlign w:val="center"/>
            <w:tcMar>
              <w:top w:w="100" w:type="dxa"/>
              <w:start w:w="120" w:type="dxa"/>
              <w:bottom w:w="100" w:type="dxa"/>
              <w:end w:w="120" w:type="dxa"/>
            </w:tcMar>
          </w:tcPr>
          <w:p>
            <w:pPr>
              <w:spacing w:after="0" w:line="247" w:lineRule="auto"/>
            </w:pPr>
            <w:r>
              <w:rPr>
                <w:color w:val="163342"/>
                <w:sz w:val="17"/>
              </w:rPr>
              <w:t>No material action is recommended right now. Monitoring continues.</w:t>
            </w:r>
          </w:p>
        </w:tc>
        <w:tc>
          <w:tcPr>
            <w:tcW w:type="dxa" w:w="2360"/>
            <w:vAlign w:val="center"/>
            <w:tcMar>
              <w:top w:w="100" w:type="dxa"/>
              <w:start w:w="120" w:type="dxa"/>
              <w:bottom w:w="100" w:type="dxa"/>
              <w:end w:w="120" w:type="dxa"/>
            </w:tcMar>
          </w:tcPr>
          <w:p>
            <w:pPr>
              <w:spacing w:after="0" w:line="247" w:lineRule="auto"/>
            </w:pPr>
            <w:r>
              <w:rPr>
                <w:color w:val="163342"/>
                <w:sz w:val="17"/>
              </w:rPr>
              <w:t>View Details</w:t>
            </w:r>
          </w:p>
        </w:tc>
      </w:tr>
      <w:tr>
        <w:tc>
          <w:tcPr>
            <w:tcW w:type="dxa" w:w="1800"/>
            <w:vAlign w:val="center"/>
            <w:tcMar>
              <w:top w:w="100" w:type="dxa"/>
              <w:start w:w="120" w:type="dxa"/>
              <w:bottom w:w="100" w:type="dxa"/>
              <w:end w:w="120" w:type="dxa"/>
            </w:tcMar>
          </w:tcPr>
          <w:p>
            <w:pPr>
              <w:spacing w:after="0" w:line="247" w:lineRule="auto"/>
            </w:pPr>
            <w:r>
              <w:rPr>
                <w:color w:val="163342"/>
                <w:sz w:val="17"/>
              </w:rPr>
              <w:t>Read model delayed</w:t>
            </w:r>
          </w:p>
        </w:tc>
        <w:tc>
          <w:tcPr>
            <w:tcW w:type="dxa" w:w="5200"/>
            <w:vAlign w:val="center"/>
            <w:tcMar>
              <w:top w:w="100" w:type="dxa"/>
              <w:start w:w="120" w:type="dxa"/>
              <w:bottom w:w="100" w:type="dxa"/>
              <w:end w:w="120" w:type="dxa"/>
            </w:tcMar>
          </w:tcPr>
          <w:p>
            <w:pPr>
              <w:spacing w:after="0" w:line="247" w:lineRule="auto"/>
            </w:pPr>
            <w:r>
              <w:rPr>
                <w:color w:val="163342"/>
                <w:sz w:val="17"/>
              </w:rPr>
              <w:t>Showing results updated at {time}. Newer data is still processing.</w:t>
            </w:r>
          </w:p>
        </w:tc>
        <w:tc>
          <w:tcPr>
            <w:tcW w:type="dxa" w:w="2360"/>
            <w:vAlign w:val="center"/>
            <w:tcMar>
              <w:top w:w="100" w:type="dxa"/>
              <w:start w:w="120" w:type="dxa"/>
              <w:bottom w:w="100" w:type="dxa"/>
              <w:end w:w="120" w:type="dxa"/>
            </w:tcMar>
          </w:tcPr>
          <w:p>
            <w:pPr>
              <w:spacing w:after="0" w:line="247" w:lineRule="auto"/>
            </w:pPr>
            <w:r>
              <w:rPr>
                <w:color w:val="163342"/>
                <w:sz w:val="17"/>
              </w:rPr>
              <w:t>Refresh Status</w:t>
            </w:r>
          </w:p>
        </w:tc>
      </w:tr>
      <w:tr>
        <w:tc>
          <w:tcPr>
            <w:tcW w:type="dxa" w:w="1800"/>
            <w:vAlign w:val="center"/>
            <w:tcMar>
              <w:top w:w="100" w:type="dxa"/>
              <w:start w:w="120" w:type="dxa"/>
              <w:bottom w:w="100" w:type="dxa"/>
              <w:end w:w="120" w:type="dxa"/>
            </w:tcMar>
          </w:tcPr>
          <w:p>
            <w:pPr>
              <w:spacing w:after="0" w:line="247" w:lineRule="auto"/>
            </w:pPr>
            <w:r>
              <w:rPr>
                <w:color w:val="163342"/>
                <w:sz w:val="17"/>
              </w:rPr>
              <w:t>Permission denied</w:t>
            </w:r>
          </w:p>
        </w:tc>
        <w:tc>
          <w:tcPr>
            <w:tcW w:type="dxa" w:w="5200"/>
            <w:vAlign w:val="center"/>
            <w:tcMar>
              <w:top w:w="100" w:type="dxa"/>
              <w:start w:w="120" w:type="dxa"/>
              <w:bottom w:w="100" w:type="dxa"/>
              <w:end w:w="120" w:type="dxa"/>
            </w:tcMar>
          </w:tcPr>
          <w:p>
            <w:pPr>
              <w:spacing w:after="0" w:line="247" w:lineRule="auto"/>
            </w:pPr>
            <w:r>
              <w:rPr>
                <w:color w:val="163342"/>
                <w:sz w:val="17"/>
              </w:rPr>
              <w:t>You do not have access to this report.</w:t>
            </w:r>
          </w:p>
        </w:tc>
        <w:tc>
          <w:tcPr>
            <w:tcW w:type="dxa" w:w="2360"/>
            <w:vAlign w:val="center"/>
            <w:tcMar>
              <w:top w:w="100" w:type="dxa"/>
              <w:start w:w="120" w:type="dxa"/>
              <w:bottom w:w="100" w:type="dxa"/>
              <w:end w:w="120" w:type="dxa"/>
            </w:tcMar>
          </w:tcPr>
          <w:p>
            <w:pPr>
              <w:spacing w:after="0" w:line="247" w:lineRule="auto"/>
            </w:pPr>
            <w:r>
              <w:rPr>
                <w:color w:val="163342"/>
                <w:sz w:val="17"/>
              </w:rPr>
              <w:t>Return</w:t>
            </w:r>
          </w:p>
        </w:tc>
      </w:tr>
    </w:tbl>
    <w:p>
      <w:pPr>
        <w:spacing w:after="20"/>
      </w:pPr>
    </w:p>
    <w:p>
      <w:pPr>
        <w:pStyle w:val="Heading2"/>
        <w:keepNext/>
      </w:pPr>
      <w:r>
        <w:t>16.2 Generation progress</w:t>
      </w:r>
    </w:p>
    <w:p>
      <w:pPr>
        <w:pStyle w:val="ListBullet"/>
      </w:pPr>
      <w:r>
        <w:t>Validating report scope…</w:t>
      </w:r>
    </w:p>
    <w:p>
      <w:pPr>
        <w:pStyle w:val="ListBullet"/>
      </w:pPr>
      <w:r>
        <w:t>Collecting verified work and results…</w:t>
      </w:r>
    </w:p>
    <w:p>
      <w:pPr>
        <w:pStyle w:val="ListBullet"/>
      </w:pPr>
      <w:r>
        <w:t>Preparing the plain-language explanation…</w:t>
      </w:r>
    </w:p>
    <w:p>
      <w:pPr>
        <w:pStyle w:val="ListBullet"/>
      </w:pPr>
      <w:r>
        <w:t>Ready for Agency review.</w:t>
      </w:r>
    </w:p>
    <w:p>
      <w:pPr>
        <w:pStyle w:val="ListBullet"/>
      </w:pPr>
      <w:r>
        <w:t>Report finalized.</w:t>
      </w:r>
    </w:p>
    <w:p>
      <w:r>
        <w:t>Progress text is derived from persisted operation stages. Do not show a stage that has not started, and do not claim completion before the official revision is committed.</w:t>
      </w:r>
    </w:p>
    <w:p>
      <w:pPr>
        <w:pStyle w:val="Heading2"/>
        <w:keepNext/>
      </w:pPr>
      <w:r>
        <w:t>16.3 Metric display examples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500"/>
        <w:gridCol w:w="3800"/>
        <w:gridCol w:w="3060"/>
      </w:tblGrid>
      <w:tr>
        <w:trPr>
          <w:tblHeader w:val="true"/>
        </w:trPr>
        <w:tc>
          <w:tcPr>
            <w:tcW w:type="dxa" w:w="2500"/>
            <w:shd w:fill="EAF2F8"/>
            <w:vAlign w:val="center"/>
            <w:tcMar>
              <w:top w:w="100" w:type="dxa"/>
              <w:start w:w="120" w:type="dxa"/>
              <w:bottom w:w="100" w:type="dxa"/>
              <w:end w:w="120" w:type="dxa"/>
            </w:tcMar>
          </w:tcPr>
          <w:p>
            <w:r>
              <w:rPr>
                <w:b/>
                <w:color w:val="10243E"/>
                <w:sz w:val="17"/>
              </w:rPr>
              <w:t>Condition</w:t>
            </w:r>
          </w:p>
        </w:tc>
        <w:tc>
          <w:tcPr>
            <w:tcW w:type="dxa" w:w="3800"/>
            <w:shd w:fill="EAF2F8"/>
            <w:vAlign w:val="center"/>
            <w:tcMar>
              <w:top w:w="100" w:type="dxa"/>
              <w:start w:w="120" w:type="dxa"/>
              <w:bottom w:w="100" w:type="dxa"/>
              <w:end w:w="120" w:type="dxa"/>
            </w:tcMar>
          </w:tcPr>
          <w:p>
            <w:r>
              <w:rPr>
                <w:b/>
                <w:color w:val="10243E"/>
                <w:sz w:val="17"/>
              </w:rPr>
              <w:t>Correct display</w:t>
            </w:r>
          </w:p>
        </w:tc>
        <w:tc>
          <w:tcPr>
            <w:tcW w:type="dxa" w:w="3060"/>
            <w:shd w:fill="EAF2F8"/>
            <w:vAlign w:val="center"/>
            <w:tcMar>
              <w:top w:w="100" w:type="dxa"/>
              <w:start w:w="120" w:type="dxa"/>
              <w:bottom w:w="100" w:type="dxa"/>
              <w:end w:w="120" w:type="dxa"/>
            </w:tcMar>
          </w:tcPr>
          <w:p>
            <w:r>
              <w:rPr>
                <w:b/>
                <w:color w:val="10243E"/>
                <w:sz w:val="17"/>
              </w:rPr>
              <w:t>Do not display</w:t>
            </w:r>
          </w:p>
        </w:tc>
      </w:tr>
      <w:tr>
        <w:tc>
          <w:tcPr>
            <w:tcW w:type="dxa" w:w="2500"/>
            <w:vAlign w:val="center"/>
            <w:tcMar>
              <w:top w:w="100" w:type="dxa"/>
              <w:start w:w="120" w:type="dxa"/>
              <w:bottom w:w="100" w:type="dxa"/>
              <w:end w:w="120" w:type="dxa"/>
            </w:tcMar>
          </w:tcPr>
          <w:p>
            <w:pPr>
              <w:spacing w:after="0" w:line="247" w:lineRule="auto"/>
            </w:pPr>
            <w:r>
              <w:rPr>
                <w:color w:val="163342"/>
                <w:sz w:val="17"/>
              </w:rPr>
              <w:t>Value is observed zero</w:t>
            </w:r>
          </w:p>
        </w:tc>
        <w:tc>
          <w:tcPr>
            <w:tcW w:type="dxa" w:w="3800"/>
            <w:vAlign w:val="center"/>
            <w:tcMar>
              <w:top w:w="100" w:type="dxa"/>
              <w:start w:w="120" w:type="dxa"/>
              <w:bottom w:w="100" w:type="dxa"/>
              <w:end w:w="120" w:type="dxa"/>
            </w:tcMar>
          </w:tcPr>
          <w:p>
            <w:pPr>
              <w:spacing w:after="0" w:line="247" w:lineRule="auto"/>
            </w:pPr>
            <w:r>
              <w:rPr>
                <w:color w:val="163342"/>
                <w:sz w:val="17"/>
              </w:rPr>
              <w:t>0 qualified leads</w:t>
            </w:r>
          </w:p>
        </w:tc>
        <w:tc>
          <w:tcPr>
            <w:tcW w:type="dxa" w:w="3060"/>
            <w:vAlign w:val="center"/>
            <w:tcMar>
              <w:top w:w="100" w:type="dxa"/>
              <w:start w:w="120" w:type="dxa"/>
              <w:bottom w:w="100" w:type="dxa"/>
              <w:end w:w="120" w:type="dxa"/>
            </w:tcMar>
          </w:tcPr>
          <w:p>
            <w:pPr>
              <w:spacing w:after="0" w:line="247" w:lineRule="auto"/>
            </w:pPr>
            <w:r>
              <w:rPr>
                <w:color w:val="163342"/>
                <w:sz w:val="17"/>
              </w:rPr>
              <w:t>No data</w:t>
            </w:r>
          </w:p>
        </w:tc>
      </w:tr>
      <w:tr>
        <w:tc>
          <w:tcPr>
            <w:tcW w:type="dxa" w:w="2500"/>
            <w:vAlign w:val="center"/>
            <w:tcMar>
              <w:top w:w="100" w:type="dxa"/>
              <w:start w:w="120" w:type="dxa"/>
              <w:bottom w:w="100" w:type="dxa"/>
              <w:end w:w="120" w:type="dxa"/>
            </w:tcMar>
          </w:tcPr>
          <w:p>
            <w:pPr>
              <w:spacing w:after="0" w:line="247" w:lineRule="auto"/>
            </w:pPr>
            <w:r>
              <w:rPr>
                <w:color w:val="163342"/>
                <w:sz w:val="17"/>
              </w:rPr>
              <w:t>Integration missing</w:t>
            </w:r>
          </w:p>
        </w:tc>
        <w:tc>
          <w:tcPr>
            <w:tcW w:type="dxa" w:w="3800"/>
            <w:vAlign w:val="center"/>
            <w:tcMar>
              <w:top w:w="100" w:type="dxa"/>
              <w:start w:w="120" w:type="dxa"/>
              <w:bottom w:w="100" w:type="dxa"/>
              <w:end w:w="120" w:type="dxa"/>
            </w:tcMar>
          </w:tcPr>
          <w:p>
            <w:pPr>
              <w:spacing w:after="0" w:line="247" w:lineRule="auto"/>
            </w:pPr>
            <w:r>
              <w:rPr>
                <w:color w:val="163342"/>
                <w:sz w:val="17"/>
              </w:rPr>
              <w:t>Not connected</w:t>
            </w:r>
          </w:p>
        </w:tc>
        <w:tc>
          <w:tcPr>
            <w:tcW w:type="dxa" w:w="3060"/>
            <w:vAlign w:val="center"/>
            <w:tcMar>
              <w:top w:w="100" w:type="dxa"/>
              <w:start w:w="120" w:type="dxa"/>
              <w:bottom w:w="100" w:type="dxa"/>
              <w:end w:w="120" w:type="dxa"/>
            </w:tcMar>
          </w:tcPr>
          <w:p>
            <w:pPr>
              <w:spacing w:after="0" w:line="247" w:lineRule="auto"/>
            </w:pPr>
            <w:r>
              <w:rPr>
                <w:color w:val="163342"/>
                <w:sz w:val="17"/>
              </w:rPr>
              <w:t>0</w:t>
            </w:r>
          </w:p>
        </w:tc>
      </w:tr>
      <w:tr>
        <w:tc>
          <w:tcPr>
            <w:tcW w:type="dxa" w:w="2500"/>
            <w:vAlign w:val="center"/>
            <w:tcMar>
              <w:top w:w="100" w:type="dxa"/>
              <w:start w:w="120" w:type="dxa"/>
              <w:bottom w:w="100" w:type="dxa"/>
              <w:end w:w="120" w:type="dxa"/>
            </w:tcMar>
          </w:tcPr>
          <w:p>
            <w:pPr>
              <w:spacing w:after="0" w:line="247" w:lineRule="auto"/>
            </w:pPr>
            <w:r>
              <w:rPr>
                <w:color w:val="163342"/>
                <w:sz w:val="17"/>
              </w:rPr>
              <w:t>Source delayed</w:t>
            </w:r>
          </w:p>
        </w:tc>
        <w:tc>
          <w:tcPr>
            <w:tcW w:type="dxa" w:w="3800"/>
            <w:vAlign w:val="center"/>
            <w:tcMar>
              <w:top w:w="100" w:type="dxa"/>
              <w:start w:w="120" w:type="dxa"/>
              <w:bottom w:w="100" w:type="dxa"/>
              <w:end w:w="120" w:type="dxa"/>
            </w:tcMar>
          </w:tcPr>
          <w:p>
            <w:pPr>
              <w:spacing w:after="0" w:line="247" w:lineRule="auto"/>
            </w:pPr>
            <w:r>
              <w:rPr>
                <w:color w:val="163342"/>
                <w:sz w:val="17"/>
              </w:rPr>
              <w:t>Data delayed · last updated Jul 30</w:t>
            </w:r>
          </w:p>
        </w:tc>
        <w:tc>
          <w:tcPr>
            <w:tcW w:type="dxa" w:w="3060"/>
            <w:vAlign w:val="center"/>
            <w:tcMar>
              <w:top w:w="100" w:type="dxa"/>
              <w:start w:w="120" w:type="dxa"/>
              <w:bottom w:w="100" w:type="dxa"/>
              <w:end w:w="120" w:type="dxa"/>
            </w:tcMar>
          </w:tcPr>
          <w:p>
            <w:pPr>
              <w:spacing w:after="0" w:line="247" w:lineRule="auto"/>
            </w:pPr>
            <w:r>
              <w:rPr>
                <w:color w:val="163342"/>
                <w:sz w:val="17"/>
              </w:rPr>
              <w:t>0 or current without warning</w:t>
            </w:r>
          </w:p>
        </w:tc>
      </w:tr>
      <w:tr>
        <w:tc>
          <w:tcPr>
            <w:tcW w:type="dxa" w:w="2500"/>
            <w:vAlign w:val="center"/>
            <w:tcMar>
              <w:top w:w="100" w:type="dxa"/>
              <w:start w:w="120" w:type="dxa"/>
              <w:bottom w:w="100" w:type="dxa"/>
              <w:end w:w="120" w:type="dxa"/>
            </w:tcMar>
          </w:tcPr>
          <w:p>
            <w:pPr>
              <w:spacing w:after="0" w:line="247" w:lineRule="auto"/>
            </w:pPr>
            <w:r>
              <w:rPr>
                <w:color w:val="163342"/>
                <w:sz w:val="17"/>
              </w:rPr>
              <w:t>Prior period zero</w:t>
            </w:r>
          </w:p>
        </w:tc>
        <w:tc>
          <w:tcPr>
            <w:tcW w:type="dxa" w:w="3800"/>
            <w:vAlign w:val="center"/>
            <w:tcMar>
              <w:top w:w="100" w:type="dxa"/>
              <w:start w:w="120" w:type="dxa"/>
              <w:bottom w:w="100" w:type="dxa"/>
              <w:end w:w="120" w:type="dxa"/>
            </w:tcMar>
          </w:tcPr>
          <w:p>
            <w:pPr>
              <w:spacing w:after="0" w:line="247" w:lineRule="auto"/>
            </w:pPr>
            <w:r>
              <w:rPr>
                <w:color w:val="163342"/>
                <w:sz w:val="17"/>
              </w:rPr>
              <w:t>Current: 5 · Previous: 0</w:t>
            </w:r>
          </w:p>
        </w:tc>
        <w:tc>
          <w:tcPr>
            <w:tcW w:type="dxa" w:w="3060"/>
            <w:vAlign w:val="center"/>
            <w:tcMar>
              <w:top w:w="100" w:type="dxa"/>
              <w:start w:w="120" w:type="dxa"/>
              <w:bottom w:w="100" w:type="dxa"/>
              <w:end w:w="120" w:type="dxa"/>
            </w:tcMar>
          </w:tcPr>
          <w:p>
            <w:pPr>
              <w:spacing w:after="0" w:line="247" w:lineRule="auto"/>
            </w:pPr>
            <w:r>
              <w:rPr>
                <w:color w:val="163342"/>
                <w:sz w:val="17"/>
              </w:rPr>
              <w:t>Up ∞%</w:t>
            </w:r>
          </w:p>
        </w:tc>
      </w:tr>
      <w:tr>
        <w:tc>
          <w:tcPr>
            <w:tcW w:type="dxa" w:w="2500"/>
            <w:vAlign w:val="center"/>
            <w:tcMar>
              <w:top w:w="100" w:type="dxa"/>
              <w:start w:w="120" w:type="dxa"/>
              <w:bottom w:w="100" w:type="dxa"/>
              <w:end w:w="120" w:type="dxa"/>
            </w:tcMar>
          </w:tcPr>
          <w:p>
            <w:pPr>
              <w:spacing w:after="0" w:line="247" w:lineRule="auto"/>
            </w:pPr>
            <w:r>
              <w:rPr>
                <w:color w:val="163342"/>
                <w:sz w:val="17"/>
              </w:rPr>
              <w:t>Incompatible definition</w:t>
            </w:r>
          </w:p>
        </w:tc>
        <w:tc>
          <w:tcPr>
            <w:tcW w:type="dxa" w:w="3800"/>
            <w:vAlign w:val="center"/>
            <w:tcMar>
              <w:top w:w="100" w:type="dxa"/>
              <w:start w:w="120" w:type="dxa"/>
              <w:bottom w:w="100" w:type="dxa"/>
              <w:end w:w="120" w:type="dxa"/>
            </w:tcMar>
          </w:tcPr>
          <w:p>
            <w:pPr>
              <w:spacing w:after="0" w:line="247" w:lineRule="auto"/>
            </w:pPr>
            <w:r>
              <w:rPr>
                <w:color w:val="163342"/>
                <w:sz w:val="17"/>
              </w:rPr>
              <w:t>Comparison unavailable · definition changed</w:t>
            </w:r>
          </w:p>
        </w:tc>
        <w:tc>
          <w:tcPr>
            <w:tcW w:type="dxa" w:w="3060"/>
            <w:vAlign w:val="center"/>
            <w:tcMar>
              <w:top w:w="100" w:type="dxa"/>
              <w:start w:w="120" w:type="dxa"/>
              <w:bottom w:w="100" w:type="dxa"/>
              <w:end w:w="120" w:type="dxa"/>
            </w:tcMar>
          </w:tcPr>
          <w:p>
            <w:pPr>
              <w:spacing w:after="0" w:line="247" w:lineRule="auto"/>
            </w:pPr>
            <w:r>
              <w:rPr>
                <w:color w:val="163342"/>
                <w:sz w:val="17"/>
              </w:rPr>
              <w:t>A continuous trend line</w:t>
            </w:r>
          </w:p>
        </w:tc>
      </w:tr>
      <w:tr>
        <w:tc>
          <w:tcPr>
            <w:tcW w:type="dxa" w:w="2500"/>
            <w:vAlign w:val="center"/>
            <w:tcMar>
              <w:top w:w="100" w:type="dxa"/>
              <w:start w:w="120" w:type="dxa"/>
              <w:bottom w:w="100" w:type="dxa"/>
              <w:end w:w="120" w:type="dxa"/>
            </w:tcMar>
          </w:tcPr>
          <w:p>
            <w:pPr>
              <w:spacing w:after="0" w:line="247" w:lineRule="auto"/>
            </w:pPr>
            <w:r>
              <w:rPr>
                <w:color w:val="163342"/>
                <w:sz w:val="17"/>
              </w:rPr>
              <w:t>Consent restricted</w:t>
            </w:r>
          </w:p>
        </w:tc>
        <w:tc>
          <w:tcPr>
            <w:tcW w:type="dxa" w:w="3800"/>
            <w:vAlign w:val="center"/>
            <w:tcMar>
              <w:top w:w="100" w:type="dxa"/>
              <w:start w:w="120" w:type="dxa"/>
              <w:bottom w:w="100" w:type="dxa"/>
              <w:end w:w="120" w:type="dxa"/>
            </w:tcMar>
          </w:tcPr>
          <w:p>
            <w:pPr>
              <w:spacing w:after="0" w:line="247" w:lineRule="auto"/>
            </w:pPr>
            <w:r>
              <w:rPr>
                <w:color w:val="163342"/>
                <w:sz w:val="17"/>
              </w:rPr>
              <w:t>Limited by consent settings</w:t>
            </w:r>
          </w:p>
        </w:tc>
        <w:tc>
          <w:tcPr>
            <w:tcW w:type="dxa" w:w="3060"/>
            <w:vAlign w:val="center"/>
            <w:tcMar>
              <w:top w:w="100" w:type="dxa"/>
              <w:start w:w="120" w:type="dxa"/>
              <w:bottom w:w="100" w:type="dxa"/>
              <w:end w:w="120" w:type="dxa"/>
            </w:tcMar>
          </w:tcPr>
          <w:p>
            <w:pPr>
              <w:spacing w:after="0" w:line="247" w:lineRule="auto"/>
            </w:pPr>
            <w:r>
              <w:rPr>
                <w:color w:val="163342"/>
                <w:sz w:val="17"/>
              </w:rPr>
              <w:t>0 sessions</w:t>
            </w:r>
          </w:p>
        </w:tc>
      </w:tr>
    </w:tbl>
    <w:p>
      <w:pPr>
        <w:spacing w:after="20"/>
      </w:pPr>
    </w:p>
    <w:p>
      <w:pPr>
        <w:pStyle w:val="Heading2"/>
        <w:keepNext/>
      </w:pPr>
      <w:r>
        <w:t>16.4 Responsive behavior</w:t>
      </w:r>
    </w:p>
    <w:p>
      <w:pPr>
        <w:pStyle w:val="ListBullet"/>
      </w:pPr>
      <w:r>
        <w:t>Mobile order remains Summary, Results, Work, Wins/Problems, Next Best Action, Evidence.</w:t>
      </w:r>
    </w:p>
    <w:p>
      <w:pPr>
        <w:pStyle w:val="ListBullet"/>
      </w:pPr>
      <w:r>
        <w:t>Portfolio tables become stacked client cards without losing status, issue or report state.</w:t>
      </w:r>
    </w:p>
    <w:p>
      <w:pPr>
        <w:pStyle w:val="ListBullet"/>
      </w:pPr>
      <w:r>
        <w:t>Metric cards wrap; values and state labels never truncate.</w:t>
      </w:r>
    </w:p>
    <w:p>
      <w:pPr>
        <w:pStyle w:val="ListBullet"/>
      </w:pPr>
      <w:r>
        <w:t>Evidence details use accessible disclosure controls and keyboard focus management.</w:t>
      </w:r>
    </w:p>
    <w:p>
      <w:pPr>
        <w:pStyle w:val="ListBullet"/>
      </w:pPr>
      <w:r>
        <w:t>PDF remains the preferred printable format; the web view does not need a separate print-specific builder.</w:t>
      </w:r>
    </w:p>
    <w:p>
      <w:pPr>
        <w:pStyle w:val="Heading1"/>
        <w:keepNext/>
      </w:pPr>
      <w:r>
        <w:t>17. Real-World End-to-End Examples</w:t>
      </w:r>
    </w:p>
    <w:p>
      <w:pPr>
        <w:pStyle w:val="Heading2"/>
        <w:keepNext/>
      </w:pPr>
      <w:r>
        <w:t>17.1 Single-business user: local insurance agency</w:t>
      </w:r>
    </w:p>
    <w:p>
      <w:r>
        <w:t>Situation: The approved Strategy focuses on qualified Visitor Insurance quote requests. During July, SEnuke AI published and verified three service pages, improved internal links and updated the mobile quote form. Search Console, first-party form events and the CRM are connected.</w:t>
      </w:r>
    </w:p>
    <w:p>
      <w:r>
        <w:t>Report composition: The primary metric is qualified quote requests. Supporting metrics are organic clicks, form starts and form completion rate. CRM disqualification rate is a guardrail. The report shows only these five results even though many other SEO metrics exist.</w:t>
      </w:r>
    </w:p>
    <w:p>
      <w:r>
        <w:t>Outcome: Qualified quotes increased from 17 to 23. Organic clicks increased, but mobile form completion remains below the expected range. Because this is an observational comparison, the narrative says performance improved after the changes and other factors may have contributed.</w:t>
      </w:r>
    </w:p>
    <w:p>
      <w:r>
        <w:t>Next Best Action: Simplify the remaining high-friction mobile fields. The report links to the evidence and the approval workflow; it does not automatically change the form.</w:t>
      </w:r>
    </w:p>
    <w:p>
      <w:pPr>
        <w:pStyle w:val="Heading2"/>
        <w:keepNext/>
      </w:pPr>
      <w:r>
        <w:t>17.2 Business workspace: ecommerce store with delayed revenue</w:t>
      </w:r>
    </w:p>
    <w:p>
      <w:r>
        <w:t>Situation: The Strategy prioritizes completed purchases and checkout completion. Website behavior data is current, but the commerce provider’s revenue feed is delayed by two days.</w:t>
      </w:r>
    </w:p>
    <w:p>
      <w:r>
        <w:t>Correct report: The report shows observed checkout starts and completions, labels revenue Data Delayed, states the last successful source time and avoids a revenue-growth conclusion. The summary explains that purchase behavior improved but final revenue confirmation is pending.</w:t>
      </w:r>
    </w:p>
    <w:p>
      <w:r>
        <w:t>Revision: When the feed recovers, a new evaluation is created. If the revenue conclusion changes materially, the system creates revision 2 with reason “Delayed commerce outcomes received.” Revision 1 remains available.</w:t>
      </w:r>
    </w:p>
    <w:p>
      <w:pPr>
        <w:pStyle w:val="Heading2"/>
        <w:keepNext/>
      </w:pPr>
      <w:r>
        <w:t>17.3 Agency: monthly client report</w:t>
      </w:r>
    </w:p>
    <w:p>
      <w:r>
        <w:t>Situation: An Agency manages 24 clients. The portfolio identifies Client A as Improving, Client B as Data Limited and Client C as Attention Needed. The Agency opens Client C, generates the previous-month report and reviews the client-safe draft.</w:t>
      </w:r>
    </w:p>
    <w:p>
      <w:r>
        <w:t>Agency action: The manager adds a short opening note and leaves all metric values and the Next Best Action locked. They finalize the report and download an Agency-branded PDF. Client C’s viewer sees only Client C’s finalized report.</w:t>
      </w:r>
    </w:p>
    <w:p>
      <w:r>
        <w:t>Security behavior: Client C cannot see the portfolio or reports for Clients A or B. The PDF renderer receives a prefiltered client-safe render model; it never receives the complete Agency portfolio payload.</w:t>
      </w:r>
    </w:p>
    <w:p>
      <w:pPr>
        <w:pStyle w:val="Heading2"/>
        <w:keepNext/>
      </w:pPr>
      <w:r>
        <w:t>17.4 Consent-restricted client</w:t>
      </w:r>
    </w:p>
    <w:p>
      <w:r>
        <w:t>Situation: Analytics consent settings permit only limited aggregate measurement. Search Console is connected, but behavior events are unavailable by design.</w:t>
      </w:r>
    </w:p>
    <w:p>
      <w:r>
        <w:t>Correct report: Search visibility and clicks may be reported if valid. Behavior and conversion metrics display Limited by Consent, not zero. The report cannot confidently diagnose conversion friction. The Next Best Action is to review measurement configuration only when configuration is believed incorrect; otherwise it recommends an allowed aggregate proxy or continued collection.</w:t>
      </w:r>
    </w:p>
    <w:p>
      <w:pPr>
        <w:pStyle w:val="Heading2"/>
        <w:keepNext/>
      </w:pPr>
      <w:r>
        <w:t>17.5 New page with no baseline</w:t>
      </w:r>
    </w:p>
    <w:p>
      <w:r>
        <w:t>Situation: A new service page was published mid-month. It has no compatible pre-publication performance baseline.</w:t>
      </w:r>
    </w:p>
    <w:p>
      <w:r>
        <w:t>Correct report: The page’s current visits and leads may be shown as observed values, but lift is labelled No Baseline. The narrative does not claim the page increased results. A future report may compare compatible post-launch periods after enough evidence exists.</w:t>
      </w:r>
    </w:p>
    <w:p>
      <w:pPr>
        <w:pStyle w:val="Heading1"/>
        <w:keepNext/>
      </w:pPr>
      <w:r>
        <w:t>18. Edge Cases and Required Behavior</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3300"/>
        <w:gridCol w:w="6060"/>
      </w:tblGrid>
      <w:tr>
        <w:trPr>
          <w:tblHeader w:val="true"/>
        </w:trPr>
        <w:tc>
          <w:tcPr>
            <w:tcW w:type="dxa" w:w="3300"/>
            <w:shd w:fill="EAF2F8"/>
            <w:vAlign w:val="center"/>
            <w:tcMar>
              <w:top w:w="100" w:type="dxa"/>
              <w:start w:w="120" w:type="dxa"/>
              <w:bottom w:w="100" w:type="dxa"/>
              <w:end w:w="120" w:type="dxa"/>
            </w:tcMar>
          </w:tcPr>
          <w:p>
            <w:r>
              <w:rPr>
                <w:b/>
                <w:color w:val="10243E"/>
                <w:sz w:val="16"/>
              </w:rPr>
              <w:t>Edge case</w:t>
            </w:r>
          </w:p>
        </w:tc>
        <w:tc>
          <w:tcPr>
            <w:tcW w:type="dxa" w:w="6060"/>
            <w:shd w:fill="EAF2F8"/>
            <w:vAlign w:val="center"/>
            <w:tcMar>
              <w:top w:w="100" w:type="dxa"/>
              <w:start w:w="120" w:type="dxa"/>
              <w:bottom w:w="100" w:type="dxa"/>
              <w:end w:w="120" w:type="dxa"/>
            </w:tcMar>
          </w:tcPr>
          <w:p>
            <w:r>
              <w:rPr>
                <w:b/>
                <w:color w:val="10243E"/>
                <w:sz w:val="16"/>
              </w:rPr>
              <w:t>Required behavior</w:t>
            </w:r>
          </w:p>
        </w:tc>
      </w:tr>
      <w:tr>
        <w:tc>
          <w:tcPr>
            <w:tcW w:type="dxa" w:w="3300"/>
            <w:vAlign w:val="center"/>
            <w:tcMar>
              <w:top w:w="100" w:type="dxa"/>
              <w:start w:w="120" w:type="dxa"/>
              <w:bottom w:w="100" w:type="dxa"/>
              <w:end w:w="120" w:type="dxa"/>
            </w:tcMar>
          </w:tcPr>
          <w:p>
            <w:pPr>
              <w:spacing w:after="0" w:line="247" w:lineRule="auto"/>
            </w:pPr>
            <w:r>
              <w:rPr>
                <w:color w:val="163342"/>
                <w:sz w:val="16"/>
              </w:rPr>
              <w:t>All primary metrics unavailable</w:t>
            </w:r>
          </w:p>
        </w:tc>
        <w:tc>
          <w:tcPr>
            <w:tcW w:type="dxa" w:w="6060"/>
            <w:vAlign w:val="center"/>
            <w:tcMar>
              <w:top w:w="100" w:type="dxa"/>
              <w:start w:w="120" w:type="dxa"/>
              <w:bottom w:w="100" w:type="dxa"/>
              <w:end w:w="120" w:type="dxa"/>
            </w:tcMar>
          </w:tcPr>
          <w:p>
            <w:pPr>
              <w:spacing w:after="0" w:line="247" w:lineRule="auto"/>
            </w:pPr>
            <w:r>
              <w:rPr>
                <w:color w:val="163342"/>
                <w:sz w:val="16"/>
              </w:rPr>
              <w:t>Generate a Limited report focused on completed work, limitations and the valid measurement/blocker action.</w:t>
            </w:r>
          </w:p>
        </w:tc>
      </w:tr>
      <w:tr>
        <w:tc>
          <w:tcPr>
            <w:tcW w:type="dxa" w:w="3300"/>
            <w:vAlign w:val="center"/>
            <w:tcMar>
              <w:top w:w="100" w:type="dxa"/>
              <w:start w:w="120" w:type="dxa"/>
              <w:bottom w:w="100" w:type="dxa"/>
              <w:end w:w="120" w:type="dxa"/>
            </w:tcMar>
          </w:tcPr>
          <w:p>
            <w:pPr>
              <w:spacing w:after="0" w:line="247" w:lineRule="auto"/>
            </w:pPr>
            <w:r>
              <w:rPr>
                <w:color w:val="163342"/>
                <w:sz w:val="16"/>
              </w:rPr>
              <w:t>No work completed in period</w:t>
            </w:r>
          </w:p>
        </w:tc>
        <w:tc>
          <w:tcPr>
            <w:tcW w:type="dxa" w:w="6060"/>
            <w:vAlign w:val="center"/>
            <w:tcMar>
              <w:top w:w="100" w:type="dxa"/>
              <w:start w:w="120" w:type="dxa"/>
              <w:bottom w:w="100" w:type="dxa"/>
              <w:end w:w="120" w:type="dxa"/>
            </w:tcMar>
          </w:tcPr>
          <w:p>
            <w:pPr>
              <w:spacing w:after="0" w:line="247" w:lineRule="auto"/>
            </w:pPr>
            <w:r>
              <w:rPr>
                <w:color w:val="163342"/>
                <w:sz w:val="16"/>
              </w:rPr>
              <w:t>State that no verified work completed; still report outcomes and Next Best Action if valid.</w:t>
            </w:r>
          </w:p>
        </w:tc>
      </w:tr>
      <w:tr>
        <w:tc>
          <w:tcPr>
            <w:tcW w:type="dxa" w:w="3300"/>
            <w:vAlign w:val="center"/>
            <w:tcMar>
              <w:top w:w="100" w:type="dxa"/>
              <w:start w:w="120" w:type="dxa"/>
              <w:bottom w:w="100" w:type="dxa"/>
              <w:end w:w="120" w:type="dxa"/>
            </w:tcMar>
          </w:tcPr>
          <w:p>
            <w:pPr>
              <w:spacing w:after="0" w:line="247" w:lineRule="auto"/>
            </w:pPr>
            <w:r>
              <w:rPr>
                <w:color w:val="163342"/>
                <w:sz w:val="16"/>
              </w:rPr>
              <w:t>Many low-level execution events</w:t>
            </w:r>
          </w:p>
        </w:tc>
        <w:tc>
          <w:tcPr>
            <w:tcW w:type="dxa" w:w="6060"/>
            <w:vAlign w:val="center"/>
            <w:tcMar>
              <w:top w:w="100" w:type="dxa"/>
              <w:start w:w="120" w:type="dxa"/>
              <w:bottom w:w="100" w:type="dxa"/>
              <w:end w:w="120" w:type="dxa"/>
            </w:tcMar>
          </w:tcPr>
          <w:p>
            <w:pPr>
              <w:spacing w:after="0" w:line="247" w:lineRule="auto"/>
            </w:pPr>
            <w:r>
              <w:rPr>
                <w:color w:val="163342"/>
                <w:sz w:val="16"/>
              </w:rPr>
              <w:t>Group by user-meaningful work item and version; do not list event noise.</w:t>
            </w:r>
          </w:p>
        </w:tc>
      </w:tr>
      <w:tr>
        <w:tc>
          <w:tcPr>
            <w:tcW w:type="dxa" w:w="3300"/>
            <w:vAlign w:val="center"/>
            <w:tcMar>
              <w:top w:w="100" w:type="dxa"/>
              <w:start w:w="120" w:type="dxa"/>
              <w:bottom w:w="100" w:type="dxa"/>
              <w:end w:w="120" w:type="dxa"/>
            </w:tcMar>
          </w:tcPr>
          <w:p>
            <w:pPr>
              <w:spacing w:after="0" w:line="247" w:lineRule="auto"/>
            </w:pPr>
            <w:r>
              <w:rPr>
                <w:color w:val="163342"/>
                <w:sz w:val="16"/>
              </w:rPr>
              <w:t>Report requested twice</w:t>
            </w:r>
          </w:p>
        </w:tc>
        <w:tc>
          <w:tcPr>
            <w:tcW w:type="dxa" w:w="6060"/>
            <w:vAlign w:val="center"/>
            <w:tcMar>
              <w:top w:w="100" w:type="dxa"/>
              <w:start w:w="120" w:type="dxa"/>
              <w:bottom w:w="100" w:type="dxa"/>
              <w:end w:w="120" w:type="dxa"/>
            </w:tcMar>
          </w:tcPr>
          <w:p>
            <w:pPr>
              <w:spacing w:after="0" w:line="247" w:lineRule="auto"/>
            </w:pPr>
            <w:r>
              <w:rPr>
                <w:color w:val="163342"/>
                <w:sz w:val="16"/>
              </w:rPr>
              <w:t>Return the idempotent operation/report for the same fingerprint.</w:t>
            </w:r>
          </w:p>
        </w:tc>
      </w:tr>
      <w:tr>
        <w:tc>
          <w:tcPr>
            <w:tcW w:type="dxa" w:w="3300"/>
            <w:vAlign w:val="center"/>
            <w:tcMar>
              <w:top w:w="100" w:type="dxa"/>
              <w:start w:w="120" w:type="dxa"/>
              <w:bottom w:w="100" w:type="dxa"/>
              <w:end w:w="120" w:type="dxa"/>
            </w:tcMar>
          </w:tcPr>
          <w:p>
            <w:pPr>
              <w:spacing w:after="0" w:line="247" w:lineRule="auto"/>
            </w:pPr>
            <w:r>
              <w:rPr>
                <w:color w:val="163342"/>
                <w:sz w:val="16"/>
              </w:rPr>
              <w:t>Actor loses permission while queued</w:t>
            </w:r>
          </w:p>
        </w:tc>
        <w:tc>
          <w:tcPr>
            <w:tcW w:type="dxa" w:w="6060"/>
            <w:vAlign w:val="center"/>
            <w:tcMar>
              <w:top w:w="100" w:type="dxa"/>
              <w:start w:w="120" w:type="dxa"/>
              <w:bottom w:w="100" w:type="dxa"/>
              <w:end w:w="120" w:type="dxa"/>
            </w:tcMar>
          </w:tcPr>
          <w:p>
            <w:pPr>
              <w:spacing w:after="0" w:line="247" w:lineRule="auto"/>
            </w:pPr>
            <w:r>
              <w:rPr>
                <w:color w:val="163342"/>
                <w:sz w:val="16"/>
              </w:rPr>
              <w:t>Fail securely before snapshot/AI/export; record reason without leaking data.</w:t>
            </w:r>
          </w:p>
        </w:tc>
      </w:tr>
      <w:tr>
        <w:tc>
          <w:tcPr>
            <w:tcW w:type="dxa" w:w="3300"/>
            <w:vAlign w:val="center"/>
            <w:tcMar>
              <w:top w:w="100" w:type="dxa"/>
              <w:start w:w="120" w:type="dxa"/>
              <w:bottom w:w="100" w:type="dxa"/>
              <w:end w:w="120" w:type="dxa"/>
            </w:tcMar>
          </w:tcPr>
          <w:p>
            <w:pPr>
              <w:spacing w:after="0" w:line="247" w:lineRule="auto"/>
            </w:pPr>
            <w:r>
              <w:rPr>
                <w:color w:val="163342"/>
                <w:sz w:val="16"/>
              </w:rPr>
              <w:t>Client moved between Agency scopes</w:t>
            </w:r>
          </w:p>
        </w:tc>
        <w:tc>
          <w:tcPr>
            <w:tcW w:type="dxa" w:w="6060"/>
            <w:vAlign w:val="center"/>
            <w:tcMar>
              <w:top w:w="100" w:type="dxa"/>
              <w:start w:w="120" w:type="dxa"/>
              <w:bottom w:w="100" w:type="dxa"/>
              <w:end w:w="120" w:type="dxa"/>
            </w:tcMar>
          </w:tcPr>
          <w:p>
            <w:pPr>
              <w:spacing w:after="0" w:line="247" w:lineRule="auto"/>
            </w:pPr>
            <w:r>
              <w:rPr>
                <w:color w:val="163342"/>
                <w:sz w:val="16"/>
              </w:rPr>
              <w:t>Apply current authorized ownership policy and preserve lawful historical audit; no cross-Agency exposure.</w:t>
            </w:r>
          </w:p>
        </w:tc>
      </w:tr>
      <w:tr>
        <w:tc>
          <w:tcPr>
            <w:tcW w:type="dxa" w:w="3300"/>
            <w:vAlign w:val="center"/>
            <w:tcMar>
              <w:top w:w="100" w:type="dxa"/>
              <w:start w:w="120" w:type="dxa"/>
              <w:bottom w:w="100" w:type="dxa"/>
              <w:end w:w="120" w:type="dxa"/>
            </w:tcMar>
          </w:tcPr>
          <w:p>
            <w:pPr>
              <w:spacing w:after="0" w:line="247" w:lineRule="auto"/>
            </w:pPr>
            <w:r>
              <w:rPr>
                <w:color w:val="163342"/>
                <w:sz w:val="16"/>
              </w:rPr>
              <w:t>Next Best Action changes during generation</w:t>
            </w:r>
          </w:p>
        </w:tc>
        <w:tc>
          <w:tcPr>
            <w:tcW w:type="dxa" w:w="6060"/>
            <w:vAlign w:val="center"/>
            <w:tcMar>
              <w:top w:w="100" w:type="dxa"/>
              <w:start w:w="120" w:type="dxa"/>
              <w:bottom w:w="100" w:type="dxa"/>
              <w:end w:w="120" w:type="dxa"/>
            </w:tcMar>
          </w:tcPr>
          <w:p>
            <w:pPr>
              <w:spacing w:after="0" w:line="247" w:lineRule="auto"/>
            </w:pPr>
            <w:r>
              <w:rPr>
                <w:color w:val="163342"/>
                <w:sz w:val="16"/>
              </w:rPr>
              <w:t>Snapshot the decision/version at compose time; mark report current as of that time. New material decision may trigger a revision.</w:t>
            </w:r>
          </w:p>
        </w:tc>
      </w:tr>
      <w:tr>
        <w:tc>
          <w:tcPr>
            <w:tcW w:type="dxa" w:w="3300"/>
            <w:vAlign w:val="center"/>
            <w:tcMar>
              <w:top w:w="100" w:type="dxa"/>
              <w:start w:w="120" w:type="dxa"/>
              <w:bottom w:w="100" w:type="dxa"/>
              <w:end w:w="120" w:type="dxa"/>
            </w:tcMar>
          </w:tcPr>
          <w:p>
            <w:pPr>
              <w:spacing w:after="0" w:line="247" w:lineRule="auto"/>
            </w:pPr>
            <w:r>
              <w:rPr>
                <w:color w:val="163342"/>
                <w:sz w:val="16"/>
              </w:rPr>
              <w:t>Experiment still running</w:t>
            </w:r>
          </w:p>
        </w:tc>
        <w:tc>
          <w:tcPr>
            <w:tcW w:type="dxa" w:w="6060"/>
            <w:vAlign w:val="center"/>
            <w:tcMar>
              <w:top w:w="100" w:type="dxa"/>
              <w:start w:w="120" w:type="dxa"/>
              <w:bottom w:w="100" w:type="dxa"/>
              <w:end w:w="120" w:type="dxa"/>
            </w:tcMar>
          </w:tcPr>
          <w:p>
            <w:pPr>
              <w:spacing w:after="0" w:line="247" w:lineRule="auto"/>
            </w:pPr>
            <w:r>
              <w:rPr>
                <w:color w:val="163342"/>
                <w:sz w:val="16"/>
              </w:rPr>
              <w:t>Show Running and current evidence only; do not imply a leader or winner.</w:t>
            </w:r>
          </w:p>
        </w:tc>
      </w:tr>
      <w:tr>
        <w:tc>
          <w:tcPr>
            <w:tcW w:type="dxa" w:w="3300"/>
            <w:vAlign w:val="center"/>
            <w:tcMar>
              <w:top w:w="100" w:type="dxa"/>
              <w:start w:w="120" w:type="dxa"/>
              <w:bottom w:w="100" w:type="dxa"/>
              <w:end w:w="120" w:type="dxa"/>
            </w:tcMar>
          </w:tcPr>
          <w:p>
            <w:pPr>
              <w:spacing w:after="0" w:line="247" w:lineRule="auto"/>
            </w:pPr>
            <w:r>
              <w:rPr>
                <w:color w:val="163342"/>
                <w:sz w:val="16"/>
              </w:rPr>
              <w:t>Negative result</w:t>
            </w:r>
          </w:p>
        </w:tc>
        <w:tc>
          <w:tcPr>
            <w:tcW w:type="dxa" w:w="6060"/>
            <w:vAlign w:val="center"/>
            <w:tcMar>
              <w:top w:w="100" w:type="dxa"/>
              <w:start w:w="120" w:type="dxa"/>
              <w:bottom w:w="100" w:type="dxa"/>
              <w:end w:w="120" w:type="dxa"/>
            </w:tcMar>
          </w:tcPr>
          <w:p>
            <w:pPr>
              <w:spacing w:after="0" w:line="247" w:lineRule="auto"/>
            </w:pPr>
            <w:r>
              <w:rPr>
                <w:color w:val="163342"/>
                <w:sz w:val="16"/>
              </w:rPr>
              <w:t>Show it with the same prominence as a positive result and explain next action.</w:t>
            </w:r>
          </w:p>
        </w:tc>
      </w:tr>
      <w:tr>
        <w:tc>
          <w:tcPr>
            <w:tcW w:type="dxa" w:w="3300"/>
            <w:vAlign w:val="center"/>
            <w:tcMar>
              <w:top w:w="100" w:type="dxa"/>
              <w:start w:w="120" w:type="dxa"/>
              <w:bottom w:w="100" w:type="dxa"/>
              <w:end w:w="120" w:type="dxa"/>
            </w:tcMar>
          </w:tcPr>
          <w:p>
            <w:pPr>
              <w:spacing w:after="0" w:line="247" w:lineRule="auto"/>
            </w:pPr>
            <w:r>
              <w:rPr>
                <w:color w:val="163342"/>
                <w:sz w:val="16"/>
              </w:rPr>
              <w:t>AI narrative fails validation</w:t>
            </w:r>
          </w:p>
        </w:tc>
        <w:tc>
          <w:tcPr>
            <w:tcW w:type="dxa" w:w="6060"/>
            <w:vAlign w:val="center"/>
            <w:tcMar>
              <w:top w:w="100" w:type="dxa"/>
              <w:start w:w="120" w:type="dxa"/>
              <w:bottom w:w="100" w:type="dxa"/>
              <w:end w:w="120" w:type="dxa"/>
            </w:tcMar>
          </w:tcPr>
          <w:p>
            <w:pPr>
              <w:spacing w:after="0" w:line="247" w:lineRule="auto"/>
            </w:pPr>
            <w:r>
              <w:rPr>
                <w:color w:val="163342"/>
                <w:sz w:val="16"/>
              </w:rPr>
              <w:t>Use deterministic fallback; Agency report may require review before finalization.</w:t>
            </w:r>
          </w:p>
        </w:tc>
      </w:tr>
      <w:tr>
        <w:tc>
          <w:tcPr>
            <w:tcW w:type="dxa" w:w="3300"/>
            <w:vAlign w:val="center"/>
            <w:tcMar>
              <w:top w:w="100" w:type="dxa"/>
              <w:start w:w="120" w:type="dxa"/>
              <w:bottom w:w="100" w:type="dxa"/>
              <w:end w:w="120" w:type="dxa"/>
            </w:tcMar>
          </w:tcPr>
          <w:p>
            <w:pPr>
              <w:spacing w:after="0" w:line="247" w:lineRule="auto"/>
            </w:pPr>
            <w:r>
              <w:rPr>
                <w:color w:val="163342"/>
                <w:sz w:val="16"/>
              </w:rPr>
              <w:t>Logo is corrupt or unsafe</w:t>
            </w:r>
          </w:p>
        </w:tc>
        <w:tc>
          <w:tcPr>
            <w:tcW w:type="dxa" w:w="6060"/>
            <w:vAlign w:val="center"/>
            <w:tcMar>
              <w:top w:w="100" w:type="dxa"/>
              <w:start w:w="120" w:type="dxa"/>
              <w:bottom w:w="100" w:type="dxa"/>
              <w:end w:w="120" w:type="dxa"/>
            </w:tcMar>
          </w:tcPr>
          <w:p>
            <w:pPr>
              <w:spacing w:after="0" w:line="247" w:lineRule="auto"/>
            </w:pPr>
            <w:r>
              <w:rPr>
                <w:color w:val="163342"/>
                <w:sz w:val="16"/>
              </w:rPr>
              <w:t>Reject asset and use text Agency name; do not fail the entire factual report.</w:t>
            </w:r>
          </w:p>
        </w:tc>
      </w:tr>
      <w:tr>
        <w:tc>
          <w:tcPr>
            <w:tcW w:type="dxa" w:w="3300"/>
            <w:vAlign w:val="center"/>
            <w:tcMar>
              <w:top w:w="100" w:type="dxa"/>
              <w:start w:w="120" w:type="dxa"/>
              <w:bottom w:w="100" w:type="dxa"/>
              <w:end w:w="120" w:type="dxa"/>
            </w:tcMar>
          </w:tcPr>
          <w:p>
            <w:pPr>
              <w:spacing w:after="0" w:line="247" w:lineRule="auto"/>
            </w:pPr>
            <w:r>
              <w:rPr>
                <w:color w:val="163342"/>
                <w:sz w:val="16"/>
              </w:rPr>
              <w:t>PDF render fails</w:t>
            </w:r>
          </w:p>
        </w:tc>
        <w:tc>
          <w:tcPr>
            <w:tcW w:type="dxa" w:w="6060"/>
            <w:vAlign w:val="center"/>
            <w:tcMar>
              <w:top w:w="100" w:type="dxa"/>
              <w:start w:w="120" w:type="dxa"/>
              <w:bottom w:w="100" w:type="dxa"/>
              <w:end w:w="120" w:type="dxa"/>
            </w:tcMar>
          </w:tcPr>
          <w:p>
            <w:pPr>
              <w:spacing w:after="0" w:line="247" w:lineRule="auto"/>
            </w:pPr>
            <w:r>
              <w:rPr>
                <w:color w:val="163342"/>
                <w:sz w:val="16"/>
              </w:rPr>
              <w:t>Keep report finalized; mark export failed and allow safe retry.</w:t>
            </w:r>
          </w:p>
        </w:tc>
      </w:tr>
      <w:tr>
        <w:tc>
          <w:tcPr>
            <w:tcW w:type="dxa" w:w="3300"/>
            <w:vAlign w:val="center"/>
            <w:tcMar>
              <w:top w:w="100" w:type="dxa"/>
              <w:start w:w="120" w:type="dxa"/>
              <w:bottom w:w="100" w:type="dxa"/>
              <w:end w:w="120" w:type="dxa"/>
            </w:tcMar>
          </w:tcPr>
          <w:p>
            <w:pPr>
              <w:spacing w:after="0" w:line="247" w:lineRule="auto"/>
            </w:pPr>
            <w:r>
              <w:rPr>
                <w:color w:val="163342"/>
                <w:sz w:val="16"/>
              </w:rPr>
              <w:t>Source correction is immaterial</w:t>
            </w:r>
          </w:p>
        </w:tc>
        <w:tc>
          <w:tcPr>
            <w:tcW w:type="dxa" w:w="6060"/>
            <w:vAlign w:val="center"/>
            <w:tcMar>
              <w:top w:w="100" w:type="dxa"/>
              <w:start w:w="120" w:type="dxa"/>
              <w:bottom w:w="100" w:type="dxa"/>
              <w:end w:w="120" w:type="dxa"/>
            </w:tcMar>
          </w:tcPr>
          <w:p>
            <w:pPr>
              <w:spacing w:after="0" w:line="247" w:lineRule="auto"/>
            </w:pPr>
            <w:r>
              <w:rPr>
                <w:color w:val="163342"/>
                <w:sz w:val="16"/>
              </w:rPr>
              <w:t>Update live summary/read model if appropriate; do not create noisy report revision unless policy threshold is met.</w:t>
            </w:r>
          </w:p>
        </w:tc>
      </w:tr>
      <w:tr>
        <w:tc>
          <w:tcPr>
            <w:tcW w:type="dxa" w:w="3300"/>
            <w:vAlign w:val="center"/>
            <w:tcMar>
              <w:top w:w="100" w:type="dxa"/>
              <w:start w:w="120" w:type="dxa"/>
              <w:bottom w:w="100" w:type="dxa"/>
              <w:end w:w="120" w:type="dxa"/>
            </w:tcMar>
          </w:tcPr>
          <w:p>
            <w:pPr>
              <w:spacing w:after="0" w:line="247" w:lineRule="auto"/>
            </w:pPr>
            <w:r>
              <w:rPr>
                <w:color w:val="163342"/>
                <w:sz w:val="16"/>
              </w:rPr>
              <w:t>Prior period value is zero</w:t>
            </w:r>
          </w:p>
        </w:tc>
        <w:tc>
          <w:tcPr>
            <w:tcW w:type="dxa" w:w="6060"/>
            <w:vAlign w:val="center"/>
            <w:tcMar>
              <w:top w:w="100" w:type="dxa"/>
              <w:start w:w="120" w:type="dxa"/>
              <w:bottom w:w="100" w:type="dxa"/>
              <w:end w:w="120" w:type="dxa"/>
            </w:tcMar>
          </w:tcPr>
          <w:p>
            <w:pPr>
              <w:spacing w:after="0" w:line="247" w:lineRule="auto"/>
            </w:pPr>
            <w:r>
              <w:rPr>
                <w:color w:val="163342"/>
                <w:sz w:val="16"/>
              </w:rPr>
              <w:t>Do not calculate infinite percentage change.</w:t>
            </w:r>
          </w:p>
        </w:tc>
      </w:tr>
      <w:tr>
        <w:tc>
          <w:tcPr>
            <w:tcW w:type="dxa" w:w="3300"/>
            <w:vAlign w:val="center"/>
            <w:tcMar>
              <w:top w:w="100" w:type="dxa"/>
              <w:start w:w="120" w:type="dxa"/>
              <w:bottom w:w="100" w:type="dxa"/>
              <w:end w:w="120" w:type="dxa"/>
            </w:tcMar>
          </w:tcPr>
          <w:p>
            <w:pPr>
              <w:spacing w:after="0" w:line="247" w:lineRule="auto"/>
            </w:pPr>
            <w:r>
              <w:rPr>
                <w:color w:val="163342"/>
                <w:sz w:val="16"/>
              </w:rPr>
              <w:t>Metric definition changed mid-period</w:t>
            </w:r>
          </w:p>
        </w:tc>
        <w:tc>
          <w:tcPr>
            <w:tcW w:type="dxa" w:w="6060"/>
            <w:vAlign w:val="center"/>
            <w:tcMar>
              <w:top w:w="100" w:type="dxa"/>
              <w:start w:w="120" w:type="dxa"/>
              <w:bottom w:w="100" w:type="dxa"/>
              <w:end w:w="120" w:type="dxa"/>
            </w:tcMar>
          </w:tcPr>
          <w:p>
            <w:pPr>
              <w:spacing w:after="0" w:line="247" w:lineRule="auto"/>
            </w:pPr>
            <w:r>
              <w:rPr>
                <w:color w:val="163342"/>
                <w:sz w:val="16"/>
              </w:rPr>
              <w:t>Split/limit result or use compatible window; show definition boundary.</w:t>
            </w:r>
          </w:p>
        </w:tc>
      </w:tr>
      <w:tr>
        <w:tc>
          <w:tcPr>
            <w:tcW w:type="dxa" w:w="3300"/>
            <w:vAlign w:val="center"/>
            <w:tcMar>
              <w:top w:w="100" w:type="dxa"/>
              <w:start w:w="120" w:type="dxa"/>
              <w:bottom w:w="100" w:type="dxa"/>
              <w:end w:w="120" w:type="dxa"/>
            </w:tcMar>
          </w:tcPr>
          <w:p>
            <w:pPr>
              <w:spacing w:after="0" w:line="247" w:lineRule="auto"/>
            </w:pPr>
            <w:r>
              <w:rPr>
                <w:color w:val="163342"/>
                <w:sz w:val="16"/>
              </w:rPr>
              <w:t>Currency sources disagree</w:t>
            </w:r>
          </w:p>
        </w:tc>
        <w:tc>
          <w:tcPr>
            <w:tcW w:type="dxa" w:w="6060"/>
            <w:vAlign w:val="center"/>
            <w:tcMar>
              <w:top w:w="100" w:type="dxa"/>
              <w:start w:w="120" w:type="dxa"/>
              <w:bottom w:w="100" w:type="dxa"/>
              <w:end w:w="120" w:type="dxa"/>
            </w:tcMar>
          </w:tcPr>
          <w:p>
            <w:pPr>
              <w:spacing w:after="0" w:line="247" w:lineRule="auto"/>
            </w:pPr>
            <w:r>
              <w:rPr>
                <w:color w:val="163342"/>
                <w:sz w:val="16"/>
              </w:rPr>
              <w:t>Do not sum incompatible values; show configured authoritative source and limitation.</w:t>
            </w:r>
          </w:p>
        </w:tc>
      </w:tr>
      <w:tr>
        <w:tc>
          <w:tcPr>
            <w:tcW w:type="dxa" w:w="3300"/>
            <w:vAlign w:val="center"/>
            <w:tcMar>
              <w:top w:w="100" w:type="dxa"/>
              <w:start w:w="120" w:type="dxa"/>
              <w:bottom w:w="100" w:type="dxa"/>
              <w:end w:w="120" w:type="dxa"/>
            </w:tcMar>
          </w:tcPr>
          <w:p>
            <w:pPr>
              <w:spacing w:after="0" w:line="247" w:lineRule="auto"/>
            </w:pPr>
            <w:r>
              <w:rPr>
                <w:color w:val="163342"/>
                <w:sz w:val="16"/>
              </w:rPr>
              <w:t>Client Viewer requests draft</w:t>
            </w:r>
          </w:p>
        </w:tc>
        <w:tc>
          <w:tcPr>
            <w:tcW w:type="dxa" w:w="6060"/>
            <w:vAlign w:val="center"/>
            <w:tcMar>
              <w:top w:w="100" w:type="dxa"/>
              <w:start w:w="120" w:type="dxa"/>
              <w:bottom w:w="100" w:type="dxa"/>
              <w:end w:w="120" w:type="dxa"/>
            </w:tcMar>
          </w:tcPr>
          <w:p>
            <w:pPr>
              <w:spacing w:after="0" w:line="247" w:lineRule="auto"/>
            </w:pPr>
            <w:r>
              <w:rPr>
                <w:color w:val="163342"/>
                <w:sz w:val="16"/>
              </w:rPr>
              <w:t>Deny; only finalized client-visible revisions are available.</w:t>
            </w:r>
          </w:p>
        </w:tc>
      </w:tr>
      <w:tr>
        <w:tc>
          <w:tcPr>
            <w:tcW w:type="dxa" w:w="3300"/>
            <w:vAlign w:val="center"/>
            <w:tcMar>
              <w:top w:w="100" w:type="dxa"/>
              <w:start w:w="120" w:type="dxa"/>
              <w:bottom w:w="100" w:type="dxa"/>
              <w:end w:w="120" w:type="dxa"/>
            </w:tcMar>
          </w:tcPr>
          <w:p>
            <w:pPr>
              <w:spacing w:after="0" w:line="247" w:lineRule="auto"/>
            </w:pPr>
            <w:r>
              <w:rPr>
                <w:color w:val="163342"/>
                <w:sz w:val="16"/>
              </w:rPr>
              <w:t>Small sensitive segment</w:t>
            </w:r>
          </w:p>
        </w:tc>
        <w:tc>
          <w:tcPr>
            <w:tcW w:type="dxa" w:w="6060"/>
            <w:vAlign w:val="center"/>
            <w:tcMar>
              <w:top w:w="100" w:type="dxa"/>
              <w:start w:w="120" w:type="dxa"/>
              <w:bottom w:w="100" w:type="dxa"/>
              <w:end w:w="120" w:type="dxa"/>
            </w:tcMar>
          </w:tcPr>
          <w:p>
            <w:pPr>
              <w:spacing w:after="0" w:line="247" w:lineRule="auto"/>
            </w:pPr>
            <w:r>
              <w:rPr>
                <w:color w:val="163342"/>
                <w:sz w:val="16"/>
              </w:rPr>
              <w:t>Suppress or aggregate according to privacy policy.</w:t>
            </w:r>
          </w:p>
        </w:tc>
      </w:tr>
      <w:tr>
        <w:tc>
          <w:tcPr>
            <w:tcW w:type="dxa" w:w="3300"/>
            <w:vAlign w:val="center"/>
            <w:tcMar>
              <w:top w:w="100" w:type="dxa"/>
              <w:start w:w="120" w:type="dxa"/>
              <w:bottom w:w="100" w:type="dxa"/>
              <w:end w:w="120" w:type="dxa"/>
            </w:tcMar>
          </w:tcPr>
          <w:p>
            <w:pPr>
              <w:spacing w:after="0" w:line="247" w:lineRule="auto"/>
            </w:pPr>
            <w:r>
              <w:rPr>
                <w:color w:val="163342"/>
                <w:sz w:val="16"/>
              </w:rPr>
              <w:t>Workspace becomes read-only</w:t>
            </w:r>
          </w:p>
        </w:tc>
        <w:tc>
          <w:tcPr>
            <w:tcW w:type="dxa" w:w="6060"/>
            <w:vAlign w:val="center"/>
            <w:tcMar>
              <w:top w:w="100" w:type="dxa"/>
              <w:start w:w="120" w:type="dxa"/>
              <w:bottom w:w="100" w:type="dxa"/>
              <w:end w:w="120" w:type="dxa"/>
            </w:tcMar>
          </w:tcPr>
          <w:p>
            <w:pPr>
              <w:spacing w:after="0" w:line="247" w:lineRule="auto"/>
            </w:pPr>
            <w:r>
              <w:rPr>
                <w:color w:val="163342"/>
                <w:sz w:val="16"/>
              </w:rPr>
              <w:t>Allow authorized viewing/export of existing reports; block new capacity-bearing generation as policy requires.</w:t>
            </w:r>
          </w:p>
        </w:tc>
      </w:tr>
      <w:tr>
        <w:tc>
          <w:tcPr>
            <w:tcW w:type="dxa" w:w="3300"/>
            <w:vAlign w:val="center"/>
            <w:tcMar>
              <w:top w:w="100" w:type="dxa"/>
              <w:start w:w="120" w:type="dxa"/>
              <w:bottom w:w="100" w:type="dxa"/>
              <w:end w:w="120" w:type="dxa"/>
            </w:tcMar>
          </w:tcPr>
          <w:p>
            <w:pPr>
              <w:spacing w:after="0" w:line="247" w:lineRule="auto"/>
            </w:pPr>
            <w:r>
              <w:rPr>
                <w:color w:val="163342"/>
                <w:sz w:val="16"/>
              </w:rPr>
              <w:t>No valid Next Best Action</w:t>
            </w:r>
          </w:p>
        </w:tc>
        <w:tc>
          <w:tcPr>
            <w:tcW w:type="dxa" w:w="6060"/>
            <w:vAlign w:val="center"/>
            <w:tcMar>
              <w:top w:w="100" w:type="dxa"/>
              <w:start w:w="120" w:type="dxa"/>
              <w:bottom w:w="100" w:type="dxa"/>
              <w:end w:w="120" w:type="dxa"/>
            </w:tcMar>
          </w:tcPr>
          <w:p>
            <w:pPr>
              <w:spacing w:after="0" w:line="247" w:lineRule="auto"/>
            </w:pPr>
            <w:r>
              <w:rPr>
                <w:color w:val="163342"/>
                <w:sz w:val="16"/>
              </w:rPr>
              <w:t>Show explicit no-action/collecting/blocker state; do not generate busy work.</w:t>
            </w:r>
          </w:p>
        </w:tc>
      </w:tr>
    </w:tbl>
    <w:p>
      <w:pPr>
        <w:spacing w:after="20"/>
      </w:pPr>
    </w:p>
    <w:p>
      <w:pPr>
        <w:pStyle w:val="Heading1"/>
        <w:keepNext/>
      </w:pPr>
      <w:r>
        <w:t>19. Implementation Plan</w:t>
      </w:r>
    </w:p>
    <w:p>
      <w:r>
        <w:t>Implement the smallest complete vertical slice first. Do not begin with a template builder or specialized report catalog.</w:t>
      </w:r>
    </w:p>
    <w:p>
      <w:pPr>
        <w:pStyle w:val="Heading2"/>
        <w:keepNext/>
      </w:pPr>
      <w:r>
        <w:t>Phase 1 — Shared contracts and snapshot composer</w:t>
      </w:r>
    </w:p>
    <w:p>
      <w:pPr>
        <w:pStyle w:val="ListBullet"/>
      </w:pPr>
      <w:r>
        <w:t>Create entities, schemas, capability keys, scope guards and report lifecycle state machine.</w:t>
      </w:r>
    </w:p>
    <w:p>
      <w:pPr>
        <w:pStyle w:val="ListBullet"/>
      </w:pPr>
      <w:r>
        <w:t>Implement deterministic metric/work/finding selection from Part 4 records.</w:t>
      </w:r>
    </w:p>
    <w:p>
      <w:pPr>
        <w:pStyle w:val="ListBullet"/>
      </w:pPr>
      <w:r>
        <w:t>Implement immutable snapshot/revision persistence and basic report query APIs.</w:t>
      </w:r>
    </w:p>
    <w:p>
      <w:pPr>
        <w:pStyle w:val="ListBullet"/>
      </w:pPr>
      <w:r>
        <w:t>Deliver a factual deterministic narrative fallback before AI integration.</w:t>
      </w:r>
    </w:p>
    <w:p>
      <w:pPr>
        <w:pStyle w:val="Heading2"/>
        <w:keepNext/>
      </w:pPr>
      <w:r>
        <w:t>Phase 2 — Individual and Business experience</w:t>
      </w:r>
    </w:p>
    <w:p>
      <w:pPr>
        <w:pStyle w:val="ListBullet"/>
      </w:pPr>
      <w:r>
        <w:t>Build Growth Summary read model and Standard Growth Report web view.</w:t>
      </w:r>
    </w:p>
    <w:p>
      <w:pPr>
        <w:pStyle w:val="ListBullet"/>
      </w:pPr>
      <w:r>
        <w:t>Build on-demand generation with previous-month and custom-period controls.</w:t>
      </w:r>
    </w:p>
    <w:p>
      <w:pPr>
        <w:pStyle w:val="ListBullet"/>
      </w:pPr>
      <w:r>
        <w:t>Add AI narrative generation through the AI Orchestrator and validation pipeline.</w:t>
      </w:r>
    </w:p>
    <w:p>
      <w:pPr>
        <w:pStyle w:val="ListBullet"/>
      </w:pPr>
      <w:r>
        <w:t>Add revision history, missing-data states and View Details links.</w:t>
      </w:r>
    </w:p>
    <w:p>
      <w:pPr>
        <w:pStyle w:val="Heading2"/>
        <w:keepNext/>
      </w:pPr>
      <w:r>
        <w:t>Phase 3 — Agency reporting</w:t>
      </w:r>
    </w:p>
    <w:p>
      <w:pPr>
        <w:pStyle w:val="ListBullet"/>
      </w:pPr>
      <w:r>
        <w:t>Build Agency portfolio read model and authorized client list.</w:t>
      </w:r>
    </w:p>
    <w:p>
      <w:pPr>
        <w:pStyle w:val="ListBullet"/>
      </w:pPr>
      <w:r>
        <w:t>Add Agency review with only permitted presentation overrides.</w:t>
      </w:r>
    </w:p>
    <w:p>
      <w:pPr>
        <w:pStyle w:val="ListBullet"/>
      </w:pPr>
      <w:r>
        <w:t>Add Client Viewer filtered serializer and finalized-report access.</w:t>
      </w:r>
    </w:p>
    <w:p>
      <w:pPr>
        <w:pStyle w:val="ListBullet"/>
      </w:pPr>
      <w:r>
        <w:t>Complete cross-client security, privacy and load tests before enabling client access.</w:t>
      </w:r>
    </w:p>
    <w:p>
      <w:pPr>
        <w:pStyle w:val="Heading2"/>
        <w:keepNext/>
      </w:pPr>
      <w:r>
        <w:t>Phase 4 — Branding, PDF and operations</w:t>
      </w:r>
    </w:p>
    <w:p>
      <w:pPr>
        <w:pStyle w:val="ListBullet"/>
      </w:pPr>
      <w:r>
        <w:t>Add versioned Agency Brand Profile and safe asset handling.</w:t>
      </w:r>
    </w:p>
    <w:p>
      <w:pPr>
        <w:pStyle w:val="ListBullet"/>
      </w:pPr>
      <w:r>
        <w:t>Add versioned server-side PDF renderer and export storage.</w:t>
      </w:r>
    </w:p>
    <w:p>
      <w:pPr>
        <w:pStyle w:val="ListBullet"/>
      </w:pPr>
      <w:r>
        <w:t>Add reconciliation, stuck-job detection, revision triggers and operational dashboards.</w:t>
      </w:r>
    </w:p>
    <w:p>
      <w:pPr>
        <w:pStyle w:val="ListBullet"/>
      </w:pPr>
      <w:r>
        <w:t>Run accessibility, failure-injection, load, retention and incident-response tests.</w:t>
      </w:r>
    </w:p>
    <w:p>
      <w:pPr>
        <w:pStyle w:val="Heading2"/>
        <w:keepNext/>
      </w:pPr>
      <w:r>
        <w:t>19.1 Migration from broader prototypes</w:t>
      </w:r>
    </w:p>
    <w:p>
      <w:pPr>
        <w:pStyle w:val="ListNumber"/>
      </w:pPr>
      <w:r>
        <w:t>Inventory any existing report templates and report-type enums.</w:t>
      </w:r>
    </w:p>
    <w:p>
      <w:pPr>
        <w:pStyle w:val="ListNumber"/>
      </w:pPr>
      <w:r>
        <w:t>Map customer-facing V1 requests to STANDARD_GROWTH; retain detailed data only as View Details sources.</w:t>
      </w:r>
    </w:p>
    <w:p>
      <w:pPr>
        <w:pStyle w:val="ListNumber"/>
      </w:pPr>
      <w:r>
        <w:t>Disable creation of advanced report types behind server-side entitlements, not only hidden UI.</w:t>
      </w:r>
    </w:p>
    <w:p>
      <w:pPr>
        <w:pStyle w:val="ListNumber"/>
      </w:pPr>
      <w:r>
        <w:t>Migrate saved report truth into the new snapshot/revision model where reliable; otherwise mark legacy exports as historical artifacts.</w:t>
      </w:r>
    </w:p>
    <w:p>
      <w:pPr>
        <w:pStyle w:val="ListNumber"/>
      </w:pPr>
      <w:r>
        <w:t>Remove or isolate custom builder, scheduler and distribution code from the V1 path.</w:t>
      </w:r>
    </w:p>
    <w:p>
      <w:pPr>
        <w:pStyle w:val="ListNumber"/>
      </w:pPr>
      <w:r>
        <w:t>Run regression tests proving Growth Intelligence calculations did not change while presentation scope was reduced.</w:t>
      </w:r>
    </w:p>
    <w:p>
      <w:pPr>
        <w:pStyle w:val="Heading2"/>
        <w:keepNext/>
      </w:pPr>
      <w:r>
        <w:t>19.2 Shared Definition of Done</w:t>
      </w:r>
    </w:p>
    <w:p>
      <w:pPr>
        <w:pStyle w:val="ListBullet"/>
      </w:pPr>
      <w:r>
        <w:t>The implementation follows the ownership and source-of-truth boundaries in this document.</w:t>
      </w:r>
    </w:p>
    <w:p>
      <w:pPr>
        <w:pStyle w:val="ListBullet"/>
      </w:pPr>
      <w:r>
        <w:t>Every endpoint and worker enforces workspace/project/client authorization.</w:t>
      </w:r>
    </w:p>
    <w:p>
      <w:pPr>
        <w:pStyle w:val="ListBullet"/>
      </w:pPr>
      <w:r>
        <w:t>All jobs are idempotent and observable with stable operation IDs.</w:t>
      </w:r>
    </w:p>
    <w:p>
      <w:pPr>
        <w:pStyle w:val="ListBullet"/>
      </w:pPr>
      <w:r>
        <w:t>Missing data states and evidence wording are correct.</w:t>
      </w:r>
    </w:p>
    <w:p>
      <w:pPr>
        <w:pStyle w:val="ListBullet"/>
      </w:pPr>
      <w:r>
        <w:t>A deterministic non-AI fallback can produce a valid report.</w:t>
      </w:r>
    </w:p>
    <w:p>
      <w:pPr>
        <w:pStyle w:val="ListBullet"/>
      </w:pPr>
      <w:r>
        <w:t>Web and PDF render from the same immutable revision.</w:t>
      </w:r>
    </w:p>
    <w:p>
      <w:pPr>
        <w:pStyle w:val="ListBullet"/>
      </w:pPr>
      <w:r>
        <w:t>Agency and Client Viewer isolation tests pass.</w:t>
      </w:r>
    </w:p>
    <w:p>
      <w:pPr>
        <w:pStyle w:val="ListBullet"/>
      </w:pPr>
      <w:r>
        <w:t>Accessibility, responsive, load, failure and reconciliation tests pass.</w:t>
      </w:r>
    </w:p>
    <w:p>
      <w:pPr>
        <w:pStyle w:val="ListBullet"/>
      </w:pPr>
      <w:r>
        <w:t>No excluded V1 feature is required for the release path.</w:t>
      </w:r>
    </w:p>
    <w:p>
      <w:pPr>
        <w:pStyle w:val="Heading1"/>
        <w:keepNext/>
      </w:pPr>
      <w:r>
        <w:t>20. Testing and Acceptance Criteria</w:t>
      </w:r>
    </w:p>
    <w:p>
      <w:pPr>
        <w:pStyle w:val="Heading2"/>
        <w:keepNext/>
      </w:pPr>
      <w:r>
        <w:t>20.1 Unit and contract tests</w:t>
      </w:r>
    </w:p>
    <w:p>
      <w:pPr>
        <w:pStyle w:val="ListBullet"/>
      </w:pPr>
      <w:r>
        <w:t>Metric selection order, maximum count, tie-breaking and guardrail inclusion.</w:t>
      </w:r>
    </w:p>
    <w:p>
      <w:pPr>
        <w:pStyle w:val="ListBullet"/>
      </w:pPr>
      <w:r>
        <w:t>All metric states and compatible/incompatible comparison behavior.</w:t>
      </w:r>
    </w:p>
    <w:p>
      <w:pPr>
        <w:pStyle w:val="ListBullet"/>
      </w:pPr>
      <w:r>
        <w:t>Report period timezone and half-open UTC conversion, including daylight-saving changes.</w:t>
      </w:r>
    </w:p>
    <w:p>
      <w:pPr>
        <w:pStyle w:val="ListBullet"/>
      </w:pPr>
      <w:r>
        <w:t>Snapshot fingerprint, revision uniqueness and content hashing.</w:t>
      </w:r>
    </w:p>
    <w:p>
      <w:pPr>
        <w:pStyle w:val="ListBullet"/>
      </w:pPr>
      <w:r>
        <w:t>AI schema, evidence reference, numeric consistency and causal-language validators.</w:t>
      </w:r>
    </w:p>
    <w:p>
      <w:pPr>
        <w:pStyle w:val="ListBullet"/>
      </w:pPr>
      <w:r>
        <w:t>Client-safe serialization and internal-field exclusion.</w:t>
      </w:r>
    </w:p>
    <w:p>
      <w:pPr>
        <w:pStyle w:val="ListBullet"/>
      </w:pPr>
      <w:r>
        <w:t>PDF render-model equality with the finalized web revision.</w:t>
      </w:r>
    </w:p>
    <w:p>
      <w:pPr>
        <w:pStyle w:val="Heading2"/>
        <w:keepNext/>
      </w:pPr>
      <w:r>
        <w:t>20.2 Integration tests</w:t>
      </w:r>
    </w:p>
    <w:p>
      <w:pPr>
        <w:pStyle w:val="ListBullet"/>
      </w:pPr>
      <w:r>
        <w:t>Part 3 verified work flows into Work Completed without duplicate event noise.</w:t>
      </w:r>
    </w:p>
    <w:p>
      <w:pPr>
        <w:pStyle w:val="ListBullet"/>
      </w:pPr>
      <w:r>
        <w:t>Part 4 evaluations, limitations and Next Best Action flow into the report without recalculation.</w:t>
      </w:r>
    </w:p>
    <w:p>
      <w:pPr>
        <w:pStyle w:val="ListBullet"/>
      </w:pPr>
      <w:r>
        <w:t>AI Orchestrator failure produces deterministic fallback and correct Capacity settlement.</w:t>
      </w:r>
    </w:p>
    <w:p>
      <w:pPr>
        <w:pStyle w:val="ListBullet"/>
      </w:pPr>
      <w:r>
        <w:t>Late outcomes create reviewed revisions without rewriting prior reports.</w:t>
      </w:r>
    </w:p>
    <w:p>
      <w:pPr>
        <w:pStyle w:val="ListBullet"/>
      </w:pPr>
      <w:r>
        <w:t>Agency role/client assignments are enforced in query, AI, export and object storage paths.</w:t>
      </w:r>
    </w:p>
    <w:p>
      <w:pPr>
        <w:pStyle w:val="ListBullet"/>
      </w:pPr>
      <w:r>
        <w:t>Read-only, suspended and entitlement-change behavior follows commercial policy.</w:t>
      </w:r>
    </w:p>
    <w:p>
      <w:pPr>
        <w:pStyle w:val="Heading2"/>
        <w:keepNext/>
      </w:pPr>
      <w:r>
        <w:t>20.3 Acceptance criteria — scope and product behavior</w:t>
      </w:r>
    </w:p>
    <w:p>
      <w:pPr>
        <w:pStyle w:val="ListBullet"/>
      </w:pPr>
      <w:r>
        <w:t>AC-001: V1 exposes one Standard Growth Report type; specialized domain report products cannot be created through UI or API.</w:t>
      </w:r>
    </w:p>
    <w:p>
      <w:pPr>
        <w:pStyle w:val="ListBullet"/>
      </w:pPr>
      <w:r>
        <w:t>AC-002: Growth Summary, Standard Growth Report and Agency client report use the same authoritative reporting engine.</w:t>
      </w:r>
    </w:p>
    <w:p>
      <w:pPr>
        <w:pStyle w:val="ListBullet"/>
      </w:pPr>
      <w:r>
        <w:t>AC-003: The main report contains the fixed seven sections in the defined order.</w:t>
      </w:r>
    </w:p>
    <w:p>
      <w:pPr>
        <w:pStyle w:val="ListBullet"/>
      </w:pPr>
      <w:r>
        <w:t>AC-004: The main report displays no more than five Important Results.</w:t>
      </w:r>
    </w:p>
    <w:p>
      <w:pPr>
        <w:pStyle w:val="ListBullet"/>
      </w:pPr>
      <w:r>
        <w:t>AC-005: Detailed module evidence remains available through authorized View Details links without duplicating full module interfaces.</w:t>
      </w:r>
    </w:p>
    <w:p>
      <w:pPr>
        <w:pStyle w:val="ListBullet"/>
      </w:pPr>
      <w:r>
        <w:t>AC-006: No V1 flow depends on a report builder, scheduler, multi-recipient distributor or custom template designer.</w:t>
      </w:r>
    </w:p>
    <w:p>
      <w:pPr>
        <w:pStyle w:val="ListBullet"/>
      </w:pPr>
      <w:r>
        <w:t>AC-007: Report generation defaults to the previous complete calendar month and supports approved alternate periods.</w:t>
      </w:r>
    </w:p>
    <w:p>
      <w:pPr>
        <w:pStyle w:val="ListBullet"/>
      </w:pPr>
      <w:r>
        <w:t>AC-008: A report can be produced through deterministic fallback when AI narration is unavailable.</w:t>
      </w:r>
    </w:p>
    <w:p>
      <w:pPr>
        <w:pStyle w:val="ListBullet"/>
      </w:pPr>
      <w:r>
        <w:t>AC-009: Viewing or re-exporting an unchanged report does not consume AI Capacity.</w:t>
      </w:r>
    </w:p>
    <w:p>
      <w:pPr>
        <w:pStyle w:val="ListBullet"/>
      </w:pPr>
      <w:r>
        <w:t>AC-010: Reports never execute marketing work or create a second Strategy/Next Best Action.</w:t>
      </w:r>
    </w:p>
    <w:p>
      <w:pPr>
        <w:pStyle w:val="Heading2"/>
        <w:keepNext/>
      </w:pPr>
      <w:r>
        <w:t>20.4 Acceptance criteria — evidence and truth</w:t>
      </w:r>
    </w:p>
    <w:p>
      <w:pPr>
        <w:pStyle w:val="ListBullet"/>
      </w:pPr>
      <w:r>
        <w:t>AC-011: Selected metrics come from deterministic policy before AI is invoked.</w:t>
      </w:r>
    </w:p>
    <w:p>
      <w:pPr>
        <w:pStyle w:val="ListBullet"/>
      </w:pPr>
      <w:r>
        <w:t>AC-012: The active objective primary metric is included when available and applicable.</w:t>
      </w:r>
    </w:p>
    <w:p>
      <w:pPr>
        <w:pStyle w:val="ListBullet"/>
      </w:pPr>
      <w:r>
        <w:t>AC-013: A materially harmed critical guardrail cannot be omitted in favor of a positive secondary metric.</w:t>
      </w:r>
    </w:p>
    <w:p>
      <w:pPr>
        <w:pStyle w:val="ListBullet"/>
      </w:pPr>
      <w:r>
        <w:t>AC-014: Numeric values, units and directions in narrative exactly match the snapshot.</w:t>
      </w:r>
    </w:p>
    <w:p>
      <w:pPr>
        <w:pStyle w:val="ListBullet"/>
      </w:pPr>
      <w:r>
        <w:t>AC-015: Rates preserve numerator, denominator, population and aggregation in evidence details.</w:t>
      </w:r>
    </w:p>
    <w:p>
      <w:pPr>
        <w:pStyle w:val="ListBullet"/>
      </w:pPr>
      <w:r>
        <w:t>AC-016: Missing, delayed, disconnected, consent-restricted, insufficient and not-applicable states are distinct from observed zero.</w:t>
      </w:r>
    </w:p>
    <w:p>
      <w:pPr>
        <w:pStyle w:val="ListBullet"/>
      </w:pPr>
      <w:r>
        <w:t>AC-017: An incompatible comparison is blocked or visibly separated; no false continuous trend is rendered.</w:t>
      </w:r>
    </w:p>
    <w:p>
      <w:pPr>
        <w:pStyle w:val="ListBullet"/>
      </w:pPr>
      <w:r>
        <w:t>AC-018: A prior value of zero does not produce infinite percentage growth.</w:t>
      </w:r>
    </w:p>
    <w:p>
      <w:pPr>
        <w:pStyle w:val="ListBullet"/>
      </w:pPr>
      <w:r>
        <w:t>AC-019: Controlled, observational, attributed and modelled results use approved evidence language.</w:t>
      </w:r>
    </w:p>
    <w:p>
      <w:pPr>
        <w:pStyle w:val="ListBullet"/>
      </w:pPr>
      <w:r>
        <w:t>AC-020: Unsupported causal claims, guarantees and certainty are blocked.</w:t>
      </w:r>
    </w:p>
    <w:p>
      <w:pPr>
        <w:pStyle w:val="ListBullet"/>
      </w:pPr>
      <w:r>
        <w:t>AC-021: The original expected impact range is preserved beside observed impact when applicable.</w:t>
      </w:r>
    </w:p>
    <w:p>
      <w:pPr>
        <w:pStyle w:val="ListBullet"/>
      </w:pPr>
      <w:r>
        <w:t>AC-022: An active/inconclusive experiment cannot be presented as having a winner.</w:t>
      </w:r>
    </w:p>
    <w:p>
      <w:pPr>
        <w:pStyle w:val="ListBullet"/>
      </w:pPr>
      <w:r>
        <w:t>AC-023: A new asset without a compatible baseline is labelled NO_BASELINE and no lift is invented.</w:t>
      </w:r>
    </w:p>
    <w:p>
      <w:pPr>
        <w:pStyle w:val="ListBullet"/>
      </w:pPr>
      <w:r>
        <w:t>AC-024: A report with material data limitations remains useful but visibly LIMITED.</w:t>
      </w:r>
    </w:p>
    <w:p>
      <w:pPr>
        <w:pStyle w:val="ListBullet"/>
      </w:pPr>
      <w:r>
        <w:t>AC-025: Negative and inconclusive outcomes remain visible and cannot be cherry-picked away.</w:t>
      </w:r>
    </w:p>
    <w:p>
      <w:pPr>
        <w:pStyle w:val="Heading2"/>
        <w:keepNext/>
      </w:pPr>
      <w:r>
        <w:t>20.5 Acceptance criteria — lifecycle and revisions</w:t>
      </w:r>
    </w:p>
    <w:p>
      <w:pPr>
        <w:pStyle w:val="ListBullet"/>
      </w:pPr>
      <w:r>
        <w:t>AC-026: Every request returns a stable operation ID and persisted lifecycle state.</w:t>
      </w:r>
    </w:p>
    <w:p>
      <w:pPr>
        <w:pStyle w:val="ListBullet"/>
      </w:pPr>
      <w:r>
        <w:t>AC-027: Duplicate generation requests with the same idempotency/snapshot fingerprint do not duplicate reports or AI charges.</w:t>
      </w:r>
    </w:p>
    <w:p>
      <w:pPr>
        <w:pStyle w:val="ListBullet"/>
      </w:pPr>
      <w:r>
        <w:t>AC-028: Finalized report revisions are immutable.</w:t>
      </w:r>
    </w:p>
    <w:p>
      <w:pPr>
        <w:pStyle w:val="ListBullet"/>
      </w:pPr>
      <w:r>
        <w:t>AC-029: Late or corrected material data creates a new visible revision rather than rewriting the original.</w:t>
      </w:r>
    </w:p>
    <w:p>
      <w:pPr>
        <w:pStyle w:val="ListBullet"/>
      </w:pPr>
      <w:r>
        <w:t>AC-030: Report history identifies revision number, time, actor and reason.</w:t>
      </w:r>
    </w:p>
    <w:p>
      <w:pPr>
        <w:pStyle w:val="ListBullet"/>
      </w:pPr>
      <w:r>
        <w:t>AC-031: A saved link or export resolves to the requested revision, not silently to the latest revision.</w:t>
      </w:r>
    </w:p>
    <w:p>
      <w:pPr>
        <w:pStyle w:val="ListBullet"/>
      </w:pPr>
      <w:r>
        <w:t>AC-032: The web report and PDF render the same snapshot and narrative version.</w:t>
      </w:r>
    </w:p>
    <w:p>
      <w:pPr>
        <w:pStyle w:val="ListBullet"/>
      </w:pPr>
      <w:r>
        <w:t>AC-033: PDF failure does not invalidate the finalized web report.</w:t>
      </w:r>
    </w:p>
    <w:p>
      <w:pPr>
        <w:pStyle w:val="ListBullet"/>
      </w:pPr>
      <w:r>
        <w:t>AC-034: Worker interruption resumes from a safe checkpoint without duplicate revisions.</w:t>
      </w:r>
    </w:p>
    <w:p>
      <w:pPr>
        <w:pStyle w:val="ListBullet"/>
      </w:pPr>
      <w:r>
        <w:t>AC-035: Reconciliation detects stuck operations, orphaned Capacity reservations and mismatched exports.</w:t>
      </w:r>
    </w:p>
    <w:p>
      <w:pPr>
        <w:pStyle w:val="Heading2"/>
        <w:keepNext/>
      </w:pPr>
      <w:r>
        <w:t>20.6 Acceptance criteria — Agency and permissions</w:t>
      </w:r>
    </w:p>
    <w:p>
      <w:pPr>
        <w:pStyle w:val="ListBullet"/>
      </w:pPr>
      <w:r>
        <w:t>AC-036: The Agency portfolio is available only to authorized Agency staff.</w:t>
      </w:r>
    </w:p>
    <w:p>
      <w:pPr>
        <w:pStyle w:val="ListBullet"/>
      </w:pPr>
      <w:r>
        <w:t>AC-037: Portfolio rows contain one client-scoped status, main result, issue, Next Best Action and report state.</w:t>
      </w:r>
    </w:p>
    <w:p>
      <w:pPr>
        <w:pStyle w:val="ListBullet"/>
      </w:pPr>
      <w:r>
        <w:t>AC-038: A Client Viewer sees only finalized reports for assigned clients.</w:t>
      </w:r>
    </w:p>
    <w:p>
      <w:pPr>
        <w:pStyle w:val="ListBullet"/>
      </w:pPr>
      <w:r>
        <w:t>AC-039: Cross-client report, evidence and export access returns a non-enumerating denial.</w:t>
      </w:r>
    </w:p>
    <w:p>
      <w:pPr>
        <w:pStyle w:val="ListBullet"/>
      </w:pPr>
      <w:r>
        <w:t>AC-040: Client-safe serialization excludes internal notes, staff assignments, costs, capacity and portfolio information before rendering.</w:t>
      </w:r>
    </w:p>
    <w:p>
      <w:pPr>
        <w:pStyle w:val="ListBullet"/>
      </w:pPr>
      <w:r>
        <w:t>AC-041: Agency reviewers can edit only the defined presentation fields.</w:t>
      </w:r>
    </w:p>
    <w:p>
      <w:pPr>
        <w:pStyle w:val="ListBullet"/>
      </w:pPr>
      <w:r>
        <w:t>AC-042: Metrics, limitations, critical guardrails and Next Best Action remain locked during Agency review.</w:t>
      </w:r>
    </w:p>
    <w:p>
      <w:pPr>
        <w:pStyle w:val="ListBullet"/>
      </w:pPr>
      <w:r>
        <w:t>AC-043: Client approval records intent but does not grant publishing authority.</w:t>
      </w:r>
    </w:p>
    <w:p>
      <w:pPr>
        <w:pStyle w:val="ListBullet"/>
      </w:pPr>
      <w:r>
        <w:t>AC-044: Client report and PDF use the saved Agency Brand Profile version.</w:t>
      </w:r>
    </w:p>
    <w:p>
      <w:pPr>
        <w:pStyle w:val="ListBullet"/>
      </w:pPr>
      <w:r>
        <w:t>AC-045: Another client’s identity, benchmark, evidence or learning never appears in a client report or AI prompt.</w:t>
      </w:r>
    </w:p>
    <w:p>
      <w:pPr>
        <w:pStyle w:val="Heading2"/>
        <w:keepNext/>
      </w:pPr>
      <w:r>
        <w:t>20.7 Acceptance criteria — security, UX and operations</w:t>
      </w:r>
    </w:p>
    <w:p>
      <w:pPr>
        <w:pStyle w:val="ListBullet"/>
      </w:pPr>
      <w:r>
        <w:t>AC-046: Credentials, raw sensitive form values, unrestricted recordings and broad CRM exports never enter reports, prompts, PDFs or logs.</w:t>
      </w:r>
    </w:p>
    <w:p>
      <w:pPr>
        <w:pStyle w:val="ListBullet"/>
      </w:pPr>
      <w:r>
        <w:t>AC-047: Uploaded brand assets are scanned, constrained and safely rendered.</w:t>
      </w:r>
    </w:p>
    <w:p>
      <w:pPr>
        <w:pStyle w:val="ListBullet"/>
      </w:pPr>
      <w:r>
        <w:t>AC-048: Small sensitive segments are suppressed or aggregated according to policy.</w:t>
      </w:r>
    </w:p>
    <w:p>
      <w:pPr>
        <w:pStyle w:val="ListBullet"/>
      </w:pPr>
      <w:r>
        <w:t>AC-049: Role/entitlement changes are rechecked when queued jobs execute.</w:t>
      </w:r>
    </w:p>
    <w:p>
      <w:pPr>
        <w:pStyle w:val="ListBullet"/>
      </w:pPr>
      <w:r>
        <w:t>AC-050: Growth Summary visibly identifies last-updated time and stale/delayed state.</w:t>
      </w:r>
    </w:p>
    <w:p>
      <w:pPr>
        <w:pStyle w:val="ListBullet"/>
      </w:pPr>
      <w:r>
        <w:t>AC-051: Every blank or limited state provides a plain-language explanation and valid next action.</w:t>
      </w:r>
    </w:p>
    <w:p>
      <w:pPr>
        <w:pStyle w:val="ListBullet"/>
      </w:pPr>
      <w:r>
        <w:t>AC-052: Status is never communicated by color alone; keyboard, screen-reader and contrast checks pass.</w:t>
      </w:r>
    </w:p>
    <w:p>
      <w:pPr>
        <w:pStyle w:val="ListBullet"/>
      </w:pPr>
      <w:r>
        <w:t>AC-053: Mobile layout preserves the report’s information order and does not truncate values or state labels.</w:t>
      </w:r>
    </w:p>
    <w:p>
      <w:pPr>
        <w:pStyle w:val="ListBullet"/>
      </w:pPr>
      <w:r>
        <w:t>AC-054: Load tests cover large Agency workspaces, concurrent generation, source backfills and PDF bursts with fair queueing.</w:t>
      </w:r>
    </w:p>
    <w:p>
      <w:pPr>
        <w:pStyle w:val="ListBullet"/>
      </w:pPr>
      <w:r>
        <w:t>AC-055: Failure-injection tests prove no duplicate report revision, export, event or Capacity settlement.</w:t>
      </w:r>
    </w:p>
    <w:p>
      <w:pPr>
        <w:pStyle w:val="ListBullet"/>
      </w:pPr>
      <w:r>
        <w:t>AC-056: Operational metrics expose generation duration, queue age, validation failures, fallback rate, export failures and revision rate without customer-sensitive payloads.</w:t>
      </w:r>
    </w:p>
    <w:p>
      <w:pPr>
        <w:pStyle w:val="ListBullet"/>
      </w:pPr>
      <w:r>
        <w:t>AC-057: Audit history can reconstruct actor, scope, sources, versions, narrative, review, export and revision reason.</w:t>
      </w:r>
    </w:p>
    <w:p>
      <w:pPr>
        <w:pStyle w:val="ListBullet"/>
      </w:pPr>
      <w:r>
        <w:t>AC-058: Retention/deletion actions propagate to read models and exports according to policy.</w:t>
      </w:r>
    </w:p>
    <w:p>
      <w:pPr>
        <w:pStyle w:val="ListBullet"/>
      </w:pPr>
      <w:r>
        <w:t>AC-059: Report services do not directly query provider APIs during web view or PDF rendering.</w:t>
      </w:r>
    </w:p>
    <w:p>
      <w:pPr>
        <w:pStyle w:val="ListBullet"/>
      </w:pPr>
      <w:r>
        <w:t>AC-060: The final implementation passes the shared Definition of Done in Section 19.2.</w:t>
      </w:r>
    </w:p>
    <w:p>
      <w:r>
        <w:br w:type="page"/>
      </w:r>
    </w:p>
    <w:p>
      <w:pPr>
        <w:pStyle w:val="Heading1"/>
        <w:keepNext/>
      </w:pPr>
      <w:r>
        <w:t>Appendix A — Complete Snapshot Example</w:t>
      </w:r>
    </w:p>
    <w:p>
      <w:pPr>
        <w:pStyle w:val="CodeBlock"/>
        <w:shd w:fill="F1F4F7"/>
        <w:pBdr>
          <w:top w:val="single" w:sz="5" w:space="4" w:color="D6DEE6"/>
          <w:left w:val="single" w:sz="5" w:space="4" w:color="D6DEE6"/>
          <w:bottom w:val="single" w:sz="5" w:space="4" w:color="D6DEE6"/>
          <w:right w:val="single" w:sz="5" w:space="4" w:color="D6DEE6"/>
        </w:pBdr>
      </w:pPr>
      <w:r>
        <w:t>{</w:t>
      </w:r>
      <w:r>
        <w:br/>
      </w:r>
      <w:r>
        <w:t xml:space="preserve">  "report_id": "rpt_321",</w:t>
      </w:r>
      <w:r>
        <w:br/>
      </w:r>
      <w:r>
        <w:t xml:space="preserve">  "revision": 1,</w:t>
      </w:r>
      <w:r>
        <w:br/>
      </w:r>
      <w:r>
        <w:t xml:space="preserve">  "scope": {</w:t>
      </w:r>
      <w:r>
        <w:br/>
      </w:r>
      <w:r>
        <w:t xml:space="preserve">    "workspace_id": "ws_123",</w:t>
      </w:r>
      <w:r>
        <w:br/>
      </w:r>
      <w:r>
        <w:t xml:space="preserve">    "project_id": "prj_45",</w:t>
      </w:r>
      <w:r>
        <w:br/>
      </w:r>
      <w:r>
        <w:t xml:space="preserve">    "client_id": "client_77"</w:t>
      </w:r>
      <w:r>
        <w:br/>
      </w:r>
      <w:r>
        <w:t xml:space="preserve">  },</w:t>
      </w:r>
      <w:r>
        <w:br/>
      </w:r>
      <w:r>
        <w:t xml:space="preserve">  "period": {</w:t>
      </w:r>
      <w:r>
        <w:br/>
      </w:r>
      <w:r>
        <w:t xml:space="preserve">    "local_start": "2026-07-01",</w:t>
      </w:r>
      <w:r>
        <w:br/>
      </w:r>
      <w:r>
        <w:t xml:space="preserve">    "local_end": "2026-07-31",</w:t>
      </w:r>
      <w:r>
        <w:br/>
      </w:r>
      <w:r>
        <w:t xml:space="preserve">    "timezone": "America/Moncton",</w:t>
      </w:r>
      <w:r>
        <w:br/>
      </w:r>
      <w:r>
        <w:t xml:space="preserve">    "utc_window": ["2026-07-01T03:00:00Z", "2026-08-01T03:00:00Z")</w:t>
      </w:r>
      <w:r>
        <w:br/>
      </w:r>
      <w:r>
        <w:t xml:space="preserve">  },</w:t>
      </w:r>
      <w:r>
        <w:br/>
      </w:r>
      <w:r>
        <w:t xml:space="preserve">  "status": "READY",</w:t>
      </w:r>
      <w:r>
        <w:br/>
      </w:r>
      <w:r>
        <w:t xml:space="preserve">  "growth_status": "IMPROVING",</w:t>
      </w:r>
      <w:r>
        <w:br/>
      </w:r>
      <w:r>
        <w:t xml:space="preserve">  "work_items": [</w:t>
      </w:r>
      <w:r>
        <w:br/>
      </w:r>
      <w:r>
        <w:t xml:space="preserve">    {"title": "Published three service pages", "status": "VERIFIED", "execution_ids": ["exe_1"]}</w:t>
      </w:r>
      <w:r>
        <w:br/>
      </w:r>
      <w:r>
        <w:t xml:space="preserve">  ],</w:t>
      </w:r>
      <w:r>
        <w:br/>
      </w:r>
      <w:r>
        <w:t xml:space="preserve">  "metrics": [</w:t>
      </w:r>
      <w:r>
        <w:br/>
      </w:r>
      <w:r>
        <w:t xml:space="preserve">    {</w:t>
      </w:r>
      <w:r>
        <w:br/>
      </w:r>
      <w:r>
        <w:t xml:space="preserve">      "metric_id": "qualified_quotes",</w:t>
      </w:r>
      <w:r>
        <w:br/>
      </w:r>
      <w:r>
        <w:t xml:space="preserve">      "display_name": "Qualified quote requests",</w:t>
      </w:r>
      <w:r>
        <w:br/>
      </w:r>
      <w:r>
        <w:t xml:space="preserve">      "current": {"value": 23, "state": "OBSERVED"},</w:t>
      </w:r>
      <w:r>
        <w:br/>
      </w:r>
      <w:r>
        <w:t xml:space="preserve">      "comparison": {"value": 17, "state": "OBSERVED"},</w:t>
      </w:r>
      <w:r>
        <w:br/>
      </w:r>
      <w:r>
        <w:t xml:space="preserve">      "direction": "IMPROVED",</w:t>
      </w:r>
      <w:r>
        <w:br/>
      </w:r>
      <w:r>
        <w:t xml:space="preserve">      "evidence_ids": ["ev_101", "ev_102"]</w:t>
      </w:r>
      <w:r>
        <w:br/>
      </w:r>
      <w:r>
        <w:t xml:space="preserve">    }</w:t>
      </w:r>
      <w:r>
        <w:br/>
      </w:r>
      <w:r>
        <w:t xml:space="preserve">  ],</w:t>
      </w:r>
      <w:r>
        <w:br/>
      </w:r>
      <w:r>
        <w:t xml:space="preserve">  "limitations": [</w:t>
      </w:r>
      <w:r>
        <w:br/>
      </w:r>
      <w:r>
        <w:t xml:space="preserve">    {"code": "OBSERVATIONAL_DESIGN", "text": "Other concurrent factors may have contributed."}</w:t>
      </w:r>
      <w:r>
        <w:br/>
      </w:r>
      <w:r>
        <w:t xml:space="preserve">  ],</w:t>
      </w:r>
      <w:r>
        <w:br/>
      </w:r>
      <w:r>
        <w:t xml:space="preserve">  "next_best_action": {</w:t>
      </w:r>
      <w:r>
        <w:br/>
      </w:r>
      <w:r>
        <w:t xml:space="preserve">    "decision_id": "nba_88",</w:t>
      </w:r>
      <w:r>
        <w:br/>
      </w:r>
      <w:r>
        <w:t xml:space="preserve">    "title": "Simplify the mobile quote form",</w:t>
      </w:r>
      <w:r>
        <w:br/>
      </w:r>
      <w:r>
        <w:t xml:space="preserve">    "approval_state": "REVIEW_REQUIRED"</w:t>
      </w:r>
      <w:r>
        <w:br/>
      </w:r>
      <w:r>
        <w:t xml:space="preserve">  },</w:t>
      </w:r>
      <w:r>
        <w:br/>
      </w:r>
      <w:r>
        <w:t xml:space="preserve">  "source_fingerprint": "sha256:...",</w:t>
      </w:r>
      <w:r>
        <w:br/>
      </w:r>
      <w:r>
        <w:t xml:space="preserve">  "schema_version": "growth-report-snapshot.v1"</w:t>
      </w:r>
      <w:r>
        <w:br/>
      </w:r>
      <w:r>
        <w:t>}</w:t>
      </w:r>
    </w:p>
    <w:p>
      <w:r>
        <w:br w:type="page"/>
      </w:r>
    </w:p>
    <w:p>
      <w:pPr>
        <w:pStyle w:val="Heading1"/>
        <w:keepNext/>
      </w:pPr>
      <w:r>
        <w:t>Appendix B — Reason Codes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1900"/>
        <w:gridCol w:w="7460"/>
      </w:tblGrid>
      <w:tr>
        <w:trPr>
          <w:tblHeader w:val="true"/>
        </w:trPr>
        <w:tc>
          <w:tcPr>
            <w:tcW w:type="dxa" w:w="1900"/>
            <w:shd w:fill="EAF2F8"/>
            <w:vAlign w:val="center"/>
            <w:tcMar>
              <w:top w:w="100" w:type="dxa"/>
              <w:start w:w="120" w:type="dxa"/>
              <w:bottom w:w="100" w:type="dxa"/>
              <w:end w:w="120" w:type="dxa"/>
            </w:tcMar>
          </w:tcPr>
          <w:p>
            <w:r>
              <w:rPr>
                <w:b/>
                <w:color w:val="10243E"/>
                <w:sz w:val="17"/>
              </w:rPr>
              <w:t>Category</w:t>
            </w:r>
          </w:p>
        </w:tc>
        <w:tc>
          <w:tcPr>
            <w:tcW w:type="dxa" w:w="7460"/>
            <w:shd w:fill="EAF2F8"/>
            <w:vAlign w:val="center"/>
            <w:tcMar>
              <w:top w:w="100" w:type="dxa"/>
              <w:start w:w="120" w:type="dxa"/>
              <w:bottom w:w="100" w:type="dxa"/>
              <w:end w:w="120" w:type="dxa"/>
            </w:tcMar>
          </w:tcPr>
          <w:p>
            <w:r>
              <w:rPr>
                <w:b/>
                <w:color w:val="10243E"/>
                <w:sz w:val="17"/>
              </w:rPr>
              <w:t>Required reason codes</w:t>
            </w:r>
          </w:p>
        </w:tc>
      </w:tr>
      <w:tr>
        <w:tc>
          <w:tcPr>
            <w:tcW w:type="dxa" w:w="1900"/>
            <w:vAlign w:val="center"/>
            <w:tcMar>
              <w:top w:w="100" w:type="dxa"/>
              <w:start w:w="120" w:type="dxa"/>
              <w:bottom w:w="100" w:type="dxa"/>
              <w:end w:w="120" w:type="dxa"/>
            </w:tcMar>
          </w:tcPr>
          <w:p>
            <w:pPr>
              <w:spacing w:after="0" w:line="247" w:lineRule="auto"/>
            </w:pPr>
            <w:r>
              <w:rPr>
                <w:color w:val="163342"/>
                <w:sz w:val="17"/>
              </w:rPr>
              <w:t>Data state</w:t>
            </w:r>
          </w:p>
        </w:tc>
        <w:tc>
          <w:tcPr>
            <w:tcW w:type="dxa" w:w="7460"/>
            <w:vAlign w:val="center"/>
            <w:tcMar>
              <w:top w:w="100" w:type="dxa"/>
              <w:start w:w="120" w:type="dxa"/>
              <w:bottom w:w="100" w:type="dxa"/>
              <w:end w:w="120" w:type="dxa"/>
            </w:tcMar>
          </w:tcPr>
          <w:p>
            <w:pPr>
              <w:spacing w:after="0" w:line="247" w:lineRule="auto"/>
            </w:pPr>
            <w:r>
              <w:rPr>
                <w:color w:val="163342"/>
                <w:sz w:val="17"/>
              </w:rPr>
              <w:t>NOT_CONNECTED, SOURCE_DELAYED, CONSENT_RESTRICTED, INSUFFICIENT_DATA, NO_BASELINE, NOT_APPLICABLE</w:t>
            </w:r>
          </w:p>
        </w:tc>
      </w:tr>
      <w:tr>
        <w:tc>
          <w:tcPr>
            <w:tcW w:type="dxa" w:w="1900"/>
            <w:vAlign w:val="center"/>
            <w:tcMar>
              <w:top w:w="100" w:type="dxa"/>
              <w:start w:w="120" w:type="dxa"/>
              <w:bottom w:w="100" w:type="dxa"/>
              <w:end w:w="120" w:type="dxa"/>
            </w:tcMar>
          </w:tcPr>
          <w:p>
            <w:pPr>
              <w:spacing w:after="0" w:line="247" w:lineRule="auto"/>
            </w:pPr>
            <w:r>
              <w:rPr>
                <w:color w:val="163342"/>
                <w:sz w:val="17"/>
              </w:rPr>
              <w:t>Generation</w:t>
            </w:r>
          </w:p>
        </w:tc>
        <w:tc>
          <w:tcPr>
            <w:tcW w:type="dxa" w:w="7460"/>
            <w:vAlign w:val="center"/>
            <w:tcMar>
              <w:top w:w="100" w:type="dxa"/>
              <w:start w:w="120" w:type="dxa"/>
              <w:bottom w:w="100" w:type="dxa"/>
              <w:end w:w="120" w:type="dxa"/>
            </w:tcMar>
          </w:tcPr>
          <w:p>
            <w:pPr>
              <w:spacing w:after="0" w:line="247" w:lineRule="auto"/>
            </w:pPr>
            <w:r>
              <w:rPr>
                <w:color w:val="163342"/>
                <w:sz w:val="17"/>
              </w:rPr>
              <w:t>PERMISSION_DENIED, INVALID_SCOPE, INVALID_PERIOD, SOURCE_NOT_READY, SNAPSHOT_FAILED, NARRATIVE_FAILED</w:t>
            </w:r>
          </w:p>
        </w:tc>
      </w:tr>
      <w:tr>
        <w:tc>
          <w:tcPr>
            <w:tcW w:type="dxa" w:w="1900"/>
            <w:vAlign w:val="center"/>
            <w:tcMar>
              <w:top w:w="100" w:type="dxa"/>
              <w:start w:w="120" w:type="dxa"/>
              <w:bottom w:w="100" w:type="dxa"/>
              <w:end w:w="120" w:type="dxa"/>
            </w:tcMar>
          </w:tcPr>
          <w:p>
            <w:pPr>
              <w:spacing w:after="0" w:line="247" w:lineRule="auto"/>
            </w:pPr>
            <w:r>
              <w:rPr>
                <w:color w:val="163342"/>
                <w:sz w:val="17"/>
              </w:rPr>
              <w:t>Validation</w:t>
            </w:r>
          </w:p>
        </w:tc>
        <w:tc>
          <w:tcPr>
            <w:tcW w:type="dxa" w:w="7460"/>
            <w:vAlign w:val="center"/>
            <w:tcMar>
              <w:top w:w="100" w:type="dxa"/>
              <w:start w:w="120" w:type="dxa"/>
              <w:bottom w:w="100" w:type="dxa"/>
              <w:end w:w="120" w:type="dxa"/>
            </w:tcMar>
          </w:tcPr>
          <w:p>
            <w:pPr>
              <w:spacing w:after="0" w:line="247" w:lineRule="auto"/>
            </w:pPr>
            <w:r>
              <w:rPr>
                <w:color w:val="163342"/>
                <w:sz w:val="17"/>
              </w:rPr>
              <w:t>UNKNOWN_EVIDENCE, NUMERIC_MISMATCH, CAUSAL_LANGUAGE_VIOLATION, PRIVACY_VIOLATION, CROSS_SCOPE_REFERENCE</w:t>
            </w:r>
          </w:p>
        </w:tc>
      </w:tr>
      <w:tr>
        <w:tc>
          <w:tcPr>
            <w:tcW w:type="dxa" w:w="1900"/>
            <w:vAlign w:val="center"/>
            <w:tcMar>
              <w:top w:w="100" w:type="dxa"/>
              <w:start w:w="120" w:type="dxa"/>
              <w:bottom w:w="100" w:type="dxa"/>
              <w:end w:w="120" w:type="dxa"/>
            </w:tcMar>
          </w:tcPr>
          <w:p>
            <w:pPr>
              <w:spacing w:after="0" w:line="247" w:lineRule="auto"/>
            </w:pPr>
            <w:r>
              <w:rPr>
                <w:color w:val="163342"/>
                <w:sz w:val="17"/>
              </w:rPr>
              <w:t>Revision</w:t>
            </w:r>
          </w:p>
        </w:tc>
        <w:tc>
          <w:tcPr>
            <w:tcW w:type="dxa" w:w="7460"/>
            <w:vAlign w:val="center"/>
            <w:tcMar>
              <w:top w:w="100" w:type="dxa"/>
              <w:start w:w="120" w:type="dxa"/>
              <w:bottom w:w="100" w:type="dxa"/>
              <w:end w:w="120" w:type="dxa"/>
            </w:tcMar>
          </w:tcPr>
          <w:p>
            <w:pPr>
              <w:spacing w:after="0" w:line="247" w:lineRule="auto"/>
            </w:pPr>
            <w:r>
              <w:rPr>
                <w:color w:val="163342"/>
                <w:sz w:val="17"/>
              </w:rPr>
              <w:t>LATE_DATA, SOURCE_CORRECTION, OUTCOME_MATURED, DEFINITION_BOUNDARY, NARRATIVE_CORRECTION, BRAND_PRESENTATION_CHANGE</w:t>
            </w:r>
          </w:p>
        </w:tc>
      </w:tr>
      <w:tr>
        <w:tc>
          <w:tcPr>
            <w:tcW w:type="dxa" w:w="1900"/>
            <w:vAlign w:val="center"/>
            <w:tcMar>
              <w:top w:w="100" w:type="dxa"/>
              <w:start w:w="120" w:type="dxa"/>
              <w:bottom w:w="100" w:type="dxa"/>
              <w:end w:w="120" w:type="dxa"/>
            </w:tcMar>
          </w:tcPr>
          <w:p>
            <w:pPr>
              <w:spacing w:after="0" w:line="247" w:lineRule="auto"/>
            </w:pPr>
            <w:r>
              <w:rPr>
                <w:color w:val="163342"/>
                <w:sz w:val="17"/>
              </w:rPr>
              <w:t>Export</w:t>
            </w:r>
          </w:p>
        </w:tc>
        <w:tc>
          <w:tcPr>
            <w:tcW w:type="dxa" w:w="7460"/>
            <w:vAlign w:val="center"/>
            <w:tcMar>
              <w:top w:w="100" w:type="dxa"/>
              <w:start w:w="120" w:type="dxa"/>
              <w:bottom w:w="100" w:type="dxa"/>
              <w:end w:w="120" w:type="dxa"/>
            </w:tcMar>
          </w:tcPr>
          <w:p>
            <w:pPr>
              <w:spacing w:after="0" w:line="247" w:lineRule="auto"/>
            </w:pPr>
            <w:r>
              <w:rPr>
                <w:color w:val="163342"/>
                <w:sz w:val="17"/>
              </w:rPr>
              <w:t>BRAND_ASSET_INVALID, TEMPLATE_RENDER_FAILED, FILE_VALIDATION_FAILED, EXPORT_EXPIRED</w:t>
            </w:r>
          </w:p>
        </w:tc>
      </w:tr>
    </w:tbl>
    <w:p>
      <w:pPr>
        <w:spacing w:after="20"/>
      </w:pPr>
    </w:p>
    <w:p>
      <w:pPr>
        <w:pStyle w:val="Heading1"/>
        <w:keepNext/>
      </w:pPr>
      <w:r>
        <w:t>Appendix C — Developer Handoff Checklist</w:t>
      </w:r>
    </w:p>
    <w:p>
      <w:pPr>
        <w:pStyle w:val="ListBullet"/>
      </w:pPr>
      <w:r>
        <w:t>Confirm the team understands that DEV-049 reduces presentation scope but does not weaken Part 4 measurement truth.</w:t>
      </w:r>
    </w:p>
    <w:p>
      <w:pPr>
        <w:pStyle w:val="ListBullet"/>
      </w:pPr>
      <w:r>
        <w:t>Confirm one shared report contract and API are used for all plans/workspaces.</w:t>
      </w:r>
    </w:p>
    <w:p>
      <w:pPr>
        <w:pStyle w:val="ListBullet"/>
      </w:pPr>
      <w:r>
        <w:t>Confirm server-side entitlements block excluded V1 report types and builders.</w:t>
      </w:r>
    </w:p>
    <w:p>
      <w:pPr>
        <w:pStyle w:val="ListBullet"/>
      </w:pPr>
      <w:r>
        <w:t>Confirm the report composer receives authoritative records and never computes provider metrics itself.</w:t>
      </w:r>
    </w:p>
    <w:p>
      <w:pPr>
        <w:pStyle w:val="ListBullet"/>
      </w:pPr>
      <w:r>
        <w:t>Confirm the AI prompt is bounded, versioned and validated against the snapshot.</w:t>
      </w:r>
    </w:p>
    <w:p>
      <w:pPr>
        <w:pStyle w:val="ListBullet"/>
      </w:pPr>
      <w:r>
        <w:t>Confirm Agency client isolation exists in queries, serializers, prompts, exports and storage.</w:t>
      </w:r>
    </w:p>
    <w:p>
      <w:pPr>
        <w:pStyle w:val="ListBullet"/>
      </w:pPr>
      <w:r>
        <w:t>Confirm PDF uses a versioned report and brand profile rather than live data.</w:t>
      </w:r>
    </w:p>
    <w:p>
      <w:pPr>
        <w:pStyle w:val="ListBullet"/>
      </w:pPr>
      <w:r>
        <w:t>Confirm every acceptance criterion has an automated or documented manual test owner.</w:t>
      </w:r>
    </w:p>
    <w:p>
      <w:pPr>
        <w:pStyle w:val="ListBullet"/>
      </w:pPr>
      <w:r>
        <w:t>Confirm release notes explain that advanced reporting and distribution remain outside V1.</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Final implementation test  </w:t>
      </w:r>
      <w:r>
        <w:t>For any sentence or number in a report, an authorized developer or auditor must be able to identify the exact report revision, source snapshot, metric definition, evidence state, limitation, narrative schema and audience scope that produced it. If that chain cannot be reconstructed, reporting is not implementation-complete.</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6"/>
      </w:rPr>
      <w:t xml:space="preserve">SEnuke AI Development Master  |  DEV-049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tabs>
        <w:tab w:val="right" w:pos="9360"/>
      </w:tabs>
    </w:pPr>
    <w:r>
      <w:rPr>
        <w:rFonts w:ascii="Calibri" w:hAnsi="Calibri"/>
        <w:b/>
        <w:color w:val="5E6B78"/>
        <w:sz w:val="16"/>
      </w:rPr>
      <w:t>SEnuke AI  |  DEV-049 Simplified Growth Reporting</w:t>
    </w:r>
    <w:r>
      <w:tab/>
    </w:r>
    <w:r>
      <w:rPr>
        <w:rFonts w:ascii="Calibri" w:hAnsi="Calibri"/>
        <w:color w:val="5E6B78"/>
        <w:sz w:val="16"/>
      </w:rPr>
      <w:t>V1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6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76BBA"/>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0243E"/>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6D5CE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59"/>
      <w:contextualSpacing/>
    </w:pPr>
    <w:rPr>
      <w:rFonts w:ascii="Calibri" w:hAnsi="Calibri"/>
      <w:color w:val="16334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547" w:hanging="259"/>
      <w:contextualSpacing/>
    </w:pPr>
    <w:rPr>
      <w:rFonts w:ascii="Calibri" w:hAnsi="Calibri"/>
      <w:color w:val="16334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163342"/>
      <w:sz w:val="16"/>
    </w:rPr>
  </w:style>
  <w:style w:type="paragraph" w:customStyle="1" w:styleId="Callout">
    <w:name w:val="Callout"/>
    <w:pPr>
      <w:spacing w:before="100" w:after="160" w:line="259" w:lineRule="auto"/>
      <w:ind w:left="288" w:right="288"/>
    </w:pPr>
    <w:rPr>
      <w:rFonts w:ascii="Calibri" w:hAnsi="Calibri"/>
      <w:b/>
      <w:color w:val="10243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