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after="200"/>
      </w:pPr>
      <w:r>
        <w:rPr>
          <w:rFonts w:ascii="Calibri" w:hAnsi="Calibri"/>
          <w:b/>
          <w:color w:val="00A8CC"/>
          <w:sz w:val="20"/>
        </w:rPr>
        <w:t>SENUKE AI DEVELOPMENT MASTER</w:t>
      </w:r>
    </w:p>
    <w:p>
      <w:pPr>
        <w:pStyle w:val="Title"/>
      </w:pPr>
      <w:r>
        <w:t>DEV-051 — Google Business Profile</w:t>
        <w:br/>
        <w:t>Limited V1 Integration</w:t>
      </w:r>
    </w:p>
    <w:p>
      <w:pPr>
        <w:pStyle w:val="Subtitle"/>
      </w:pPr>
      <w:r>
        <w:t>Simple implementation guide for using GBP intelligence inside Local SEO</w:t>
      </w:r>
    </w:p>
    <w:tbl>
      <w:tblPr>
        <w:tblW w:type="dxa" w:w="9360"/>
        <w:jc w:val="left"/>
        <w:tblLook w:firstColumn="1" w:firstRow="1" w:lastColumn="0" w:lastRow="0" w:noHBand="0" w:noVBand="1" w:val="04A0"/>
        <w:tblLayout w:type="fixed"/>
        <w:tblInd w:w="120" w:type="dxa"/>
        <w:tblBorders>
          <w:top w:val="single" w:sz="6" w:space="0" w:color="CCD8E3"/>
          <w:left w:val="single" w:sz="6" w:space="0" w:color="CCD8E3"/>
          <w:bottom w:val="single" w:sz="6" w:space="0" w:color="CCD8E3"/>
          <w:right w:val="single" w:sz="6" w:space="0" w:color="CCD8E3"/>
          <w:insideH w:val="single" w:sz="6" w:space="0" w:color="CCD8E3"/>
          <w:insideV w:val="single" w:sz="6" w:space="0" w:color="CCD8E3"/>
        </w:tblBorders>
      </w:tblPr>
      <w:tblGrid>
        <w:gridCol w:w="2000"/>
        <w:gridCol w:w="7360"/>
      </w:tblGrid>
      <w:tr>
        <w:trPr>
          <w:tblHeader w:val="true"/>
        </w:trPr>
        <w:tc>
          <w:tcPr>
            <w:tcW w:type="dxa" w:w="2000"/>
            <w:shd w:fill="10243E"/>
            <w:tcMar>
              <w:top w:w="100" w:type="dxa"/>
              <w:start w:w="120" w:type="dxa"/>
              <w:bottom w:w="100" w:type="dxa"/>
              <w:end w:w="120" w:type="dxa"/>
            </w:tcMar>
          </w:tcPr>
          <w:p>
            <w:r>
              <w:rPr>
                <w:b/>
                <w:color w:val="FFFFFF"/>
              </w:rPr>
              <w:t>Document field</w:t>
            </w:r>
          </w:p>
        </w:tc>
        <w:tc>
          <w:tcPr>
            <w:tcW w:type="dxa" w:w="7360"/>
            <w:shd w:fill="10243E"/>
            <w:tcMar>
              <w:top w:w="100" w:type="dxa"/>
              <w:start w:w="120" w:type="dxa"/>
              <w:bottom w:w="100" w:type="dxa"/>
              <w:end w:w="120" w:type="dxa"/>
            </w:tcMar>
          </w:tcPr>
          <w:p>
            <w:r>
              <w:rPr>
                <w:b/>
                <w:color w:val="FFFFFF"/>
              </w:rPr>
              <w:t>Value</w:t>
            </w:r>
          </w:p>
        </w:tc>
      </w:tr>
      <w:tr>
        <w:tc>
          <w:tcPr>
            <w:tcW w:type="dxa" w:w="2000"/>
            <w:shd w:fill="EAF2F8"/>
            <w:tcMar>
              <w:top w:w="100" w:type="dxa"/>
              <w:start w:w="120" w:type="dxa"/>
              <w:bottom w:w="100" w:type="dxa"/>
              <w:end w:w="120" w:type="dxa"/>
            </w:tcMar>
          </w:tcPr>
          <w:p>
            <w:r>
              <w:rPr>
                <w:b/>
                <w:color w:val="10243E"/>
              </w:rPr>
              <w:t>Status</w:t>
            </w:r>
          </w:p>
        </w:tc>
        <w:tc>
          <w:tcPr>
            <w:tcW w:type="dxa" w:w="7360"/>
            <w:tcMar>
              <w:top w:w="100" w:type="dxa"/>
              <w:start w:w="120" w:type="dxa"/>
              <w:bottom w:w="100" w:type="dxa"/>
              <w:end w:w="120" w:type="dxa"/>
            </w:tcMar>
          </w:tcPr>
          <w:p>
            <w:r>
              <w:t>Authoritative simplified V1 GBP implementation guide</w:t>
            </w:r>
          </w:p>
        </w:tc>
      </w:tr>
      <w:tr>
        <w:tc>
          <w:tcPr>
            <w:tcW w:type="dxa" w:w="2000"/>
            <w:shd w:fill="EAF2F8"/>
            <w:tcMar>
              <w:top w:w="100" w:type="dxa"/>
              <w:start w:w="120" w:type="dxa"/>
              <w:bottom w:w="100" w:type="dxa"/>
              <w:end w:w="120" w:type="dxa"/>
            </w:tcMar>
          </w:tcPr>
          <w:p>
            <w:r>
              <w:rPr>
                <w:b/>
                <w:color w:val="10243E"/>
              </w:rPr>
              <w:t>Version</w:t>
            </w:r>
          </w:p>
        </w:tc>
        <w:tc>
          <w:tcPr>
            <w:tcW w:type="dxa" w:w="7360"/>
            <w:tcMar>
              <w:top w:w="100" w:type="dxa"/>
              <w:start w:w="120" w:type="dxa"/>
              <w:bottom w:w="100" w:type="dxa"/>
              <w:end w:w="120" w:type="dxa"/>
            </w:tcMar>
          </w:tcPr>
          <w:p>
            <w:r>
              <w:t>1.0</w:t>
            </w:r>
          </w:p>
        </w:tc>
      </w:tr>
      <w:tr>
        <w:tc>
          <w:tcPr>
            <w:tcW w:type="dxa" w:w="2000"/>
            <w:shd w:fill="EAF2F8"/>
            <w:tcMar>
              <w:top w:w="100" w:type="dxa"/>
              <w:start w:w="120" w:type="dxa"/>
              <w:bottom w:w="100" w:type="dxa"/>
              <w:end w:w="120" w:type="dxa"/>
            </w:tcMar>
          </w:tcPr>
          <w:p>
            <w:r>
              <w:rPr>
                <w:b/>
                <w:color w:val="10243E"/>
              </w:rPr>
              <w:t>Date</w:t>
            </w:r>
          </w:p>
        </w:tc>
        <w:tc>
          <w:tcPr>
            <w:tcW w:type="dxa" w:w="7360"/>
            <w:tcMar>
              <w:top w:w="100" w:type="dxa"/>
              <w:start w:w="120" w:type="dxa"/>
              <w:bottom w:w="100" w:type="dxa"/>
              <w:end w:w="120" w:type="dxa"/>
            </w:tcMar>
          </w:tcPr>
          <w:p>
            <w:r>
              <w:t>August 12, 2026</w:t>
            </w:r>
          </w:p>
        </w:tc>
      </w:tr>
      <w:tr>
        <w:tc>
          <w:tcPr>
            <w:tcW w:type="dxa" w:w="2000"/>
            <w:shd w:fill="EAF2F8"/>
            <w:tcMar>
              <w:top w:w="100" w:type="dxa"/>
              <w:start w:w="120" w:type="dxa"/>
              <w:bottom w:w="100" w:type="dxa"/>
              <w:end w:w="120" w:type="dxa"/>
            </w:tcMar>
          </w:tcPr>
          <w:p>
            <w:r>
              <w:rPr>
                <w:b/>
                <w:color w:val="10243E"/>
              </w:rPr>
              <w:t>Primary owner</w:t>
            </w:r>
          </w:p>
        </w:tc>
        <w:tc>
          <w:tcPr>
            <w:tcW w:type="dxa" w:w="7360"/>
            <w:tcMar>
              <w:top w:w="100" w:type="dxa"/>
              <w:start w:w="120" w:type="dxa"/>
              <w:bottom w:w="100" w:type="dxa"/>
              <w:end w:w="120" w:type="dxa"/>
            </w:tcMar>
          </w:tcPr>
          <w:p>
            <w:r>
              <w:t>Integrations Hub</w:t>
            </w:r>
          </w:p>
        </w:tc>
      </w:tr>
      <w:tr>
        <w:tc>
          <w:tcPr>
            <w:tcW w:type="dxa" w:w="2000"/>
            <w:shd w:fill="EAF2F8"/>
            <w:tcMar>
              <w:top w:w="100" w:type="dxa"/>
              <w:start w:w="120" w:type="dxa"/>
              <w:bottom w:w="100" w:type="dxa"/>
              <w:end w:w="120" w:type="dxa"/>
            </w:tcMar>
          </w:tcPr>
          <w:p>
            <w:r>
              <w:rPr>
                <w:b/>
                <w:color w:val="10243E"/>
              </w:rPr>
              <w:t>Primary consumer</w:t>
            </w:r>
          </w:p>
        </w:tc>
        <w:tc>
          <w:tcPr>
            <w:tcW w:type="dxa" w:w="7360"/>
            <w:tcMar>
              <w:top w:w="100" w:type="dxa"/>
              <w:start w:w="120" w:type="dxa"/>
              <w:bottom w:w="100" w:type="dxa"/>
              <w:end w:w="120" w:type="dxa"/>
            </w:tcMar>
          </w:tcPr>
          <w:p>
            <w:r>
              <w:t>Local SEO Intelligence &amp; Execution</w:t>
            </w:r>
          </w:p>
        </w:tc>
      </w:tr>
      <w:tr>
        <w:tc>
          <w:tcPr>
            <w:tcW w:type="dxa" w:w="2000"/>
            <w:shd w:fill="EAF2F8"/>
            <w:tcMar>
              <w:top w:w="100" w:type="dxa"/>
              <w:start w:w="120" w:type="dxa"/>
              <w:bottom w:w="100" w:type="dxa"/>
              <w:end w:w="120" w:type="dxa"/>
            </w:tcMar>
          </w:tcPr>
          <w:p>
            <w:r>
              <w:rPr>
                <w:b/>
                <w:color w:val="10243E"/>
              </w:rPr>
              <w:t>Applies to</w:t>
            </w:r>
          </w:p>
        </w:tc>
        <w:tc>
          <w:tcPr>
            <w:tcW w:type="dxa" w:w="7360"/>
            <w:tcMar>
              <w:top w:w="100" w:type="dxa"/>
              <w:start w:w="120" w:type="dxa"/>
              <w:bottom w:w="100" w:type="dxa"/>
              <w:end w:w="120" w:type="dxa"/>
            </w:tcMar>
          </w:tcPr>
          <w:p>
            <w:r>
              <w:t>Personal, Business and Agency workspaces with eligible local businesses</w:t>
            </w:r>
          </w:p>
        </w:tc>
      </w:tr>
      <w:tr>
        <w:tc>
          <w:tcPr>
            <w:tcW w:type="dxa" w:w="2000"/>
            <w:shd w:fill="EAF2F8"/>
            <w:tcMar>
              <w:top w:w="100" w:type="dxa"/>
              <w:start w:w="120" w:type="dxa"/>
              <w:bottom w:w="100" w:type="dxa"/>
              <w:end w:w="120" w:type="dxa"/>
            </w:tcMar>
          </w:tcPr>
          <w:p>
            <w:r>
              <w:rPr>
                <w:b/>
                <w:color w:val="10243E"/>
              </w:rPr>
              <w:t>Developer goal</w:t>
            </w:r>
          </w:p>
        </w:tc>
        <w:tc>
          <w:tcPr>
            <w:tcW w:type="dxa" w:w="7360"/>
            <w:tcMar>
              <w:top w:w="100" w:type="dxa"/>
              <w:start w:w="120" w:type="dxa"/>
              <w:bottom w:w="100" w:type="dxa"/>
              <w:end w:w="120" w:type="dxa"/>
            </w:tcMar>
          </w:tcPr>
          <w:p>
            <w:r>
              <w:t>Connect, read, diagnose, recommend, approve, perform supported actions and verify</w:t>
            </w:r>
          </w:p>
        </w:tc>
      </w:tr>
    </w:tbl>
    <w:p>
      <w:pPr>
        <w:pStyle w:val="Heading2"/>
      </w:pPr>
      <w:r>
        <w:t>FINAL V1 DECISION</w:t>
      </w:r>
    </w:p>
    <w:p>
      <w:pPr>
        <w:spacing w:before="100" w:after="160"/>
        <w:ind w:left="173" w:right="173"/>
        <w:shd w:fill="EAF2F8"/>
        <w:pBdr>
          <w:top w:val="single" w:sz="5" w:space="4" w:color="CCD8E3"/>
          <w:left w:val="single" w:sz="5" w:space="4" w:color="CCD8E3"/>
          <w:bottom w:val="single" w:sz="5" w:space="4" w:color="CCD8E3"/>
          <w:right w:val="single" w:sz="5" w:space="4" w:color="CCD8E3"/>
        </w:pBdr>
      </w:pPr>
      <w:r>
        <w:rPr>
          <w:b/>
          <w:color w:val="10243E"/>
        </w:rPr>
        <w:t xml:space="preserve">Build this  </w:t>
      </w:r>
      <w:r>
        <w:t>Google Business Profile is a core V1 Local SEO capability. SEnuke AI connects an authorized profile, reads useful profile and performance data, finds gaps, prepares recommendations and approved content, and performs only actions that the live connector explicitly supports. It is not a standalone or full GBP management product.</w:t>
      </w:r>
    </w:p>
    <w:p>
      <w:r>
        <w:t>This recreates the approved scope from DEV-039 and reconciles it with DEV-032, DEV-021, DEV-042 and DEV-047. If a broader older description conflicts with this guide, implement this limited scope.</w:t>
      </w:r>
    </w:p>
    <w:p>
      <w:r>
        <w:br w:type="page"/>
      </w:r>
    </w:p>
    <w:p>
      <w:pPr>
        <w:pStyle w:val="Heading1"/>
        <w:keepNext/>
      </w:pPr>
      <w:r>
        <w:t>1. What Developers Need to Build</w:t>
      </w:r>
    </w:p>
    <w:p>
      <w:r>
        <w:t>Build one capability-aware Google Business Profile connection inside the Integrations Hub and surface its results inside Local SEO. Do not create a separate top-level GBP product or force users to understand Google’s individual APIs.</w:t>
      </w:r>
    </w:p>
    <w:p>
      <w:pPr>
        <w:jc w:val="center"/>
      </w:pPr>
      <w:r>
        <w:drawing>
          <wp:inline xmlns:a="http://schemas.openxmlformats.org/drawingml/2006/main" xmlns:pic="http://schemas.openxmlformats.org/drawingml/2006/picture">
            <wp:extent cx="5806440" cy="1695905"/>
            <wp:docPr id="1" name="Picture 1" title="Figure 1 — Limited GBP V1 workflow" descr="The user connects and selects a location. SEnuke AI reads available evidence, diagnoses gaps, prepares recommendations, obtains approval, performs a supported action or provides an explicit handoff, verifies the result and updates the Next Best Action."/>
            <wp:cNvGraphicFramePr>
              <a:graphicFrameLocks noChangeAspect="1"/>
            </wp:cNvGraphicFramePr>
            <a:graphic>
              <a:graphicData uri="http://schemas.openxmlformats.org/drawingml/2006/picture">
                <pic:pic>
                  <pic:nvPicPr>
                    <pic:cNvPr id="0" name="dev051_gbp_limited_flow.png"/>
                    <pic:cNvPicPr/>
                  </pic:nvPicPr>
                  <pic:blipFill>
                    <a:blip r:embed="rId11"/>
                    <a:stretch>
                      <a:fillRect/>
                    </a:stretch>
                  </pic:blipFill>
                  <pic:spPr>
                    <a:xfrm>
                      <a:off x="0" y="0"/>
                      <a:ext cx="5806440" cy="1695905"/>
                    </a:xfrm>
                    <a:prstGeom prst="rect"/>
                  </pic:spPr>
                </pic:pic>
              </a:graphicData>
            </a:graphic>
          </wp:inline>
        </w:drawing>
      </w:r>
    </w:p>
    <w:p>
      <w:pPr>
        <w:spacing w:before="40" w:after="160"/>
        <w:jc w:val="center"/>
      </w:pPr>
      <w:r>
        <w:rPr>
          <w:i/>
          <w:color w:val="5E6B78"/>
          <w:sz w:val="17"/>
        </w:rPr>
        <w:t>Figure 1 — Limited GBP V1 workflow</w:t>
      </w:r>
    </w:p>
    <w:p>
      <w:pPr>
        <w:pStyle w:val="Heading2"/>
        <w:keepNext/>
      </w:pPr>
      <w:r>
        <w:t>The complete V1 outcome</w:t>
      </w:r>
    </w:p>
    <w:p>
      <w:pPr>
        <w:pStyle w:val="ListBullet"/>
      </w:pPr>
      <w:r>
        <w:t>Detect when a project is relevant to local search and recommend connecting GBP.</w:t>
      </w:r>
    </w:p>
    <w:p>
      <w:pPr>
        <w:pStyle w:val="ListBullet"/>
      </w:pPr>
      <w:r>
        <w:t>Let an authorized user connect Google and select the correct account and location.</w:t>
      </w:r>
    </w:p>
    <w:p>
      <w:pPr>
        <w:pStyle w:val="ListBullet"/>
      </w:pPr>
      <w:r>
        <w:t>Discover the exact read and write capabilities available for that connection.</w:t>
      </w:r>
    </w:p>
    <w:p>
      <w:pPr>
        <w:pStyle w:val="ListBullet"/>
      </w:pPr>
      <w:r>
        <w:t>Read approved profile fields, reviews and performance data that Google makes available.</w:t>
      </w:r>
    </w:p>
    <w:p>
      <w:pPr>
        <w:pStyle w:val="ListBullet"/>
      </w:pPr>
      <w:r>
        <w:t>Evaluate profile completeness, accuracy, alignment and local visibility opportunities.</w:t>
      </w:r>
    </w:p>
    <w:p>
      <w:pPr>
        <w:pStyle w:val="ListBullet"/>
      </w:pPr>
      <w:r>
        <w:t>Create recommendations and approved GBP update or review-reply assets.</w:t>
      </w:r>
    </w:p>
    <w:p>
      <w:pPr>
        <w:pStyle w:val="ListBullet"/>
      </w:pPr>
      <w:r>
        <w:t>Perform a direct action only when the connection reports that capability and approval is valid.</w:t>
      </w:r>
    </w:p>
    <w:p>
      <w:pPr>
        <w:pStyle w:val="ListBullet"/>
      </w:pPr>
      <w:r>
        <w:t>Otherwise provide an explicit copy/export/handoff path and never label it as published.</w:t>
      </w:r>
    </w:p>
    <w:p>
      <w:pPr>
        <w:pStyle w:val="ListBullet"/>
      </w:pPr>
      <w:r>
        <w:t>Verify supported remote changes and preserve activity history.</w:t>
      </w:r>
    </w:p>
    <w:p>
      <w:pPr>
        <w:pStyle w:val="ListBullet"/>
      </w:pPr>
      <w:r>
        <w:t>Feed available outcomes into Local SEO, Growth Intelligence, reports and one Next Best Action.</w:t>
      </w:r>
    </w:p>
    <w:p>
      <w:pPr>
        <w:pStyle w:val="Heading2"/>
        <w:keepNext/>
      </w:pPr>
      <w:r>
        <w:t>Where the feature appears</w:t>
      </w:r>
    </w:p>
    <w:p>
      <w:pPr>
        <w:pStyle w:val="ListBullet"/>
      </w:pPr>
      <w:r>
        <w:t>Integrations Hub: connect, reconnect, permissions, health, location mapping and disconnect.</w:t>
      </w:r>
    </w:p>
    <w:p>
      <w:pPr>
        <w:pStyle w:val="ListBullet"/>
      </w:pPr>
      <w:r>
        <w:t>Local SEO: profile audit, findings, recommendations, local plan and performance summary.</w:t>
      </w:r>
    </w:p>
    <w:p>
      <w:pPr>
        <w:pStyle w:val="ListBullet"/>
      </w:pPr>
      <w:r>
        <w:t>Reputation: review monitoring, sentiment themes and drafted responses.</w:t>
      </w:r>
    </w:p>
    <w:p>
      <w:pPr>
        <w:pStyle w:val="ListBullet"/>
      </w:pPr>
      <w:r>
        <w:t>Content/Social execution: approved GBP update assets and handoff or capability-gated publishing.</w:t>
      </w:r>
    </w:p>
    <w:p>
      <w:pPr>
        <w:pStyle w:val="ListBullet"/>
      </w:pPr>
      <w:r>
        <w:t>Growth and Reports: verified actions, available outcomes, limitations and Next Best Action.</w:t>
      </w:r>
    </w:p>
    <w:p>
      <w:pPr>
        <w:pStyle w:val="Heading1"/>
        <w:keepNext/>
      </w:pPr>
      <w:r>
        <w:t>2. V1 Scope Boundary</w:t>
      </w:r>
    </w:p>
    <w:tbl>
      <w:tblPr>
        <w:tblW w:type="dxa" w:w="9360"/>
        <w:jc w:val="left"/>
        <w:tblLook w:firstColumn="1" w:firstRow="1" w:lastColumn="0" w:lastRow="0" w:noHBand="0" w:noVBand="1" w:val="04A0"/>
        <w:tblLayout w:type="fixed"/>
        <w:tblInd w:w="120" w:type="dxa"/>
        <w:tblBorders>
          <w:top w:val="single" w:sz="6" w:space="0" w:color="CCD8E3"/>
          <w:left w:val="single" w:sz="6" w:space="0" w:color="CCD8E3"/>
          <w:bottom w:val="single" w:sz="6" w:space="0" w:color="CCD8E3"/>
          <w:right w:val="single" w:sz="6" w:space="0" w:color="CCD8E3"/>
          <w:insideH w:val="single" w:sz="6" w:space="0" w:color="CCD8E3"/>
          <w:insideV w:val="single" w:sz="6" w:space="0" w:color="CCD8E3"/>
        </w:tblBorders>
      </w:tblPr>
      <w:tblGrid>
        <w:gridCol w:w="4680"/>
        <w:gridCol w:w="4680"/>
      </w:tblGrid>
      <w:tr>
        <w:trPr>
          <w:tblHeader w:val="true"/>
        </w:trPr>
        <w:tc>
          <w:tcPr>
            <w:tcW w:type="dxa" w:w="4680"/>
            <w:shd w:fill="EAF2F8"/>
            <w:vAlign w:val="center"/>
            <w:tcMar>
              <w:top w:w="100" w:type="dxa"/>
              <w:start w:w="120" w:type="dxa"/>
              <w:bottom w:w="100" w:type="dxa"/>
              <w:end w:w="120" w:type="dxa"/>
            </w:tcMar>
          </w:tcPr>
          <w:p>
            <w:r>
              <w:rPr>
                <w:b/>
                <w:color w:val="10243E"/>
                <w:sz w:val="17"/>
              </w:rPr>
              <w:t>Build in V1</w:t>
            </w:r>
          </w:p>
        </w:tc>
        <w:tc>
          <w:tcPr>
            <w:tcW w:type="dxa" w:w="4680"/>
            <w:shd w:fill="EAF2F8"/>
            <w:vAlign w:val="center"/>
            <w:tcMar>
              <w:top w:w="100" w:type="dxa"/>
              <w:start w:w="120" w:type="dxa"/>
              <w:bottom w:w="100" w:type="dxa"/>
              <w:end w:w="120" w:type="dxa"/>
            </w:tcMar>
          </w:tcPr>
          <w:p>
            <w:r>
              <w:rPr>
                <w:b/>
                <w:color w:val="10243E"/>
                <w:sz w:val="17"/>
              </w:rPr>
              <w:t>Do not build in V1</w:t>
            </w:r>
          </w:p>
        </w:tc>
      </w:tr>
      <w:tr>
        <w:tc>
          <w:tcPr>
            <w:tcW w:type="dxa" w:w="4680"/>
            <w:vAlign w:val="center"/>
            <w:tcMar>
              <w:top w:w="100" w:type="dxa"/>
              <w:start w:w="120" w:type="dxa"/>
              <w:bottom w:w="100" w:type="dxa"/>
              <w:end w:w="120" w:type="dxa"/>
            </w:tcMar>
          </w:tcPr>
          <w:p>
            <w:pPr>
              <w:spacing w:after="0" w:line="247" w:lineRule="auto"/>
            </w:pPr>
            <w:r>
              <w:rPr>
                <w:color w:val="163342"/>
                <w:sz w:val="17"/>
              </w:rPr>
              <w:t>OAuth connection and location selection</w:t>
            </w:r>
          </w:p>
        </w:tc>
        <w:tc>
          <w:tcPr>
            <w:tcW w:type="dxa" w:w="4680"/>
            <w:vAlign w:val="center"/>
            <w:tcMar>
              <w:top w:w="100" w:type="dxa"/>
              <w:start w:w="120" w:type="dxa"/>
              <w:bottom w:w="100" w:type="dxa"/>
              <w:end w:w="120" w:type="dxa"/>
            </w:tcMar>
          </w:tcPr>
          <w:p>
            <w:pPr>
              <w:spacing w:after="0" w:line="247" w:lineRule="auto"/>
            </w:pPr>
            <w:r>
              <w:rPr>
                <w:color w:val="163342"/>
                <w:sz w:val="17"/>
              </w:rPr>
              <w:t>A replacement for the Google Business Profile interface</w:t>
            </w:r>
          </w:p>
        </w:tc>
      </w:tr>
      <w:tr>
        <w:tc>
          <w:tcPr>
            <w:tcW w:type="dxa" w:w="4680"/>
            <w:vAlign w:val="center"/>
            <w:tcMar>
              <w:top w:w="100" w:type="dxa"/>
              <w:start w:w="120" w:type="dxa"/>
              <w:bottom w:w="100" w:type="dxa"/>
              <w:end w:w="120" w:type="dxa"/>
            </w:tcMar>
          </w:tcPr>
          <w:p>
            <w:pPr>
              <w:spacing w:after="0" w:line="247" w:lineRule="auto"/>
            </w:pPr>
            <w:r>
              <w:rPr>
                <w:color w:val="163342"/>
                <w:sz w:val="17"/>
              </w:rPr>
              <w:t>Read profile data and available performance data</w:t>
            </w:r>
          </w:p>
        </w:tc>
        <w:tc>
          <w:tcPr>
            <w:tcW w:type="dxa" w:w="4680"/>
            <w:vAlign w:val="center"/>
            <w:tcMar>
              <w:top w:w="100" w:type="dxa"/>
              <w:start w:w="120" w:type="dxa"/>
              <w:bottom w:w="100" w:type="dxa"/>
              <w:end w:w="120" w:type="dxa"/>
            </w:tcMar>
          </w:tcPr>
          <w:p>
            <w:pPr>
              <w:spacing w:after="0" w:line="247" w:lineRule="auto"/>
            </w:pPr>
            <w:r>
              <w:rPr>
                <w:color w:val="163342"/>
                <w:sz w:val="17"/>
              </w:rPr>
              <w:t>Listing creation, claiming, verification or ownership transfer workflows</w:t>
            </w:r>
          </w:p>
        </w:tc>
      </w:tr>
      <w:tr>
        <w:tc>
          <w:tcPr>
            <w:tcW w:type="dxa" w:w="4680"/>
            <w:vAlign w:val="center"/>
            <w:tcMar>
              <w:top w:w="100" w:type="dxa"/>
              <w:start w:w="120" w:type="dxa"/>
              <w:bottom w:w="100" w:type="dxa"/>
              <w:end w:w="120" w:type="dxa"/>
            </w:tcMar>
          </w:tcPr>
          <w:p>
            <w:pPr>
              <w:spacing w:after="0" w:line="247" w:lineRule="auto"/>
            </w:pPr>
            <w:r>
              <w:rPr>
                <w:color w:val="163342"/>
                <w:sz w:val="17"/>
              </w:rPr>
              <w:t>Profile completeness and alignment audit</w:t>
            </w:r>
          </w:p>
        </w:tc>
        <w:tc>
          <w:tcPr>
            <w:tcW w:type="dxa" w:w="4680"/>
            <w:vAlign w:val="center"/>
            <w:tcMar>
              <w:top w:w="100" w:type="dxa"/>
              <w:start w:w="120" w:type="dxa"/>
              <w:bottom w:w="100" w:type="dxa"/>
              <w:end w:w="120" w:type="dxa"/>
            </w:tcMar>
          </w:tcPr>
          <w:p>
            <w:pPr>
              <w:spacing w:after="0" w:line="247" w:lineRule="auto"/>
            </w:pPr>
            <w:r>
              <w:rPr>
                <w:color w:val="163342"/>
                <w:sz w:val="17"/>
              </w:rPr>
              <w:t>A broad multi-directory listings synchronization platform</w:t>
            </w:r>
          </w:p>
        </w:tc>
      </w:tr>
      <w:tr>
        <w:tc>
          <w:tcPr>
            <w:tcW w:type="dxa" w:w="4680"/>
            <w:vAlign w:val="center"/>
            <w:tcMar>
              <w:top w:w="100" w:type="dxa"/>
              <w:start w:w="120" w:type="dxa"/>
              <w:bottom w:w="100" w:type="dxa"/>
              <w:end w:w="120" w:type="dxa"/>
            </w:tcMar>
          </w:tcPr>
          <w:p>
            <w:pPr>
              <w:spacing w:after="0" w:line="247" w:lineRule="auto"/>
            </w:pPr>
            <w:r>
              <w:rPr>
                <w:color w:val="163342"/>
                <w:sz w:val="17"/>
              </w:rPr>
              <w:t>Website, NAP, category, service and location comparisons</w:t>
            </w:r>
          </w:p>
        </w:tc>
        <w:tc>
          <w:tcPr>
            <w:tcW w:type="dxa" w:w="4680"/>
            <w:vAlign w:val="center"/>
            <w:tcMar>
              <w:top w:w="100" w:type="dxa"/>
              <w:start w:w="120" w:type="dxa"/>
              <w:bottom w:w="100" w:type="dxa"/>
              <w:end w:w="120" w:type="dxa"/>
            </w:tcMar>
          </w:tcPr>
          <w:p>
            <w:pPr>
              <w:spacing w:after="0" w:line="247" w:lineRule="auto"/>
            </w:pPr>
            <w:r>
              <w:rPr>
                <w:color w:val="163342"/>
                <w:sz w:val="17"/>
              </w:rPr>
              <w:t>Enterprise bulk-chain or franchise location administration</w:t>
            </w:r>
          </w:p>
        </w:tc>
      </w:tr>
      <w:tr>
        <w:tc>
          <w:tcPr>
            <w:tcW w:type="dxa" w:w="4680"/>
            <w:vAlign w:val="center"/>
            <w:tcMar>
              <w:top w:w="100" w:type="dxa"/>
              <w:start w:w="120" w:type="dxa"/>
              <w:bottom w:w="100" w:type="dxa"/>
              <w:end w:w="120" w:type="dxa"/>
            </w:tcMar>
          </w:tcPr>
          <w:p>
            <w:pPr>
              <w:spacing w:after="0" w:line="247" w:lineRule="auto"/>
            </w:pPr>
            <w:r>
              <w:rPr>
                <w:color w:val="163342"/>
                <w:sz w:val="17"/>
              </w:rPr>
              <w:t>Prioritized recommendations and approval flow</w:t>
            </w:r>
          </w:p>
        </w:tc>
        <w:tc>
          <w:tcPr>
            <w:tcW w:type="dxa" w:w="4680"/>
            <w:vAlign w:val="center"/>
            <w:tcMar>
              <w:top w:w="100" w:type="dxa"/>
              <w:start w:w="120" w:type="dxa"/>
              <w:bottom w:w="100" w:type="dxa"/>
              <w:end w:w="120" w:type="dxa"/>
            </w:tcMar>
          </w:tcPr>
          <w:p>
            <w:pPr>
              <w:spacing w:after="0" w:line="247" w:lineRule="auto"/>
            </w:pPr>
            <w:r>
              <w:rPr>
                <w:color w:val="163342"/>
                <w:sz w:val="17"/>
              </w:rPr>
              <w:t>Automatic profile edits, automatic replies or unapproved posting</w:t>
            </w:r>
          </w:p>
        </w:tc>
      </w:tr>
      <w:tr>
        <w:tc>
          <w:tcPr>
            <w:tcW w:type="dxa" w:w="4680"/>
            <w:vAlign w:val="center"/>
            <w:tcMar>
              <w:top w:w="100" w:type="dxa"/>
              <w:start w:w="120" w:type="dxa"/>
              <w:bottom w:w="100" w:type="dxa"/>
              <w:end w:w="120" w:type="dxa"/>
            </w:tcMar>
          </w:tcPr>
          <w:p>
            <w:pPr>
              <w:spacing w:after="0" w:line="247" w:lineRule="auto"/>
            </w:pPr>
            <w:r>
              <w:rPr>
                <w:color w:val="163342"/>
                <w:sz w:val="17"/>
              </w:rPr>
              <w:t>Drafted profile changes, GBP updates and review replies</w:t>
            </w:r>
          </w:p>
        </w:tc>
        <w:tc>
          <w:tcPr>
            <w:tcW w:type="dxa" w:w="4680"/>
            <w:vAlign w:val="center"/>
            <w:tcMar>
              <w:top w:w="100" w:type="dxa"/>
              <w:start w:w="120" w:type="dxa"/>
              <w:bottom w:w="100" w:type="dxa"/>
              <w:end w:w="120" w:type="dxa"/>
            </w:tcMar>
          </w:tcPr>
          <w:p>
            <w:pPr>
              <w:spacing w:after="0" w:line="247" w:lineRule="auto"/>
            </w:pPr>
            <w:r>
              <w:rPr>
                <w:color w:val="163342"/>
                <w:sz w:val="17"/>
              </w:rPr>
              <w:t>A full media, product, menu, Q&amp;A, booking or order management suite</w:t>
            </w:r>
          </w:p>
        </w:tc>
      </w:tr>
      <w:tr>
        <w:tc>
          <w:tcPr>
            <w:tcW w:type="dxa" w:w="4680"/>
            <w:vAlign w:val="center"/>
            <w:tcMar>
              <w:top w:w="100" w:type="dxa"/>
              <w:start w:w="120" w:type="dxa"/>
              <w:bottom w:w="100" w:type="dxa"/>
              <w:end w:w="120" w:type="dxa"/>
            </w:tcMar>
          </w:tcPr>
          <w:p>
            <w:pPr>
              <w:spacing w:after="0" w:line="247" w:lineRule="auto"/>
            </w:pPr>
            <w:r>
              <w:rPr>
                <w:color w:val="163342"/>
                <w:sz w:val="17"/>
              </w:rPr>
              <w:t>Supported direct actions with read-back verification</w:t>
            </w:r>
          </w:p>
        </w:tc>
        <w:tc>
          <w:tcPr>
            <w:tcW w:type="dxa" w:w="4680"/>
            <w:vAlign w:val="center"/>
            <w:tcMar>
              <w:top w:w="100" w:type="dxa"/>
              <w:start w:w="120" w:type="dxa"/>
              <w:bottom w:w="100" w:type="dxa"/>
              <w:end w:w="120" w:type="dxa"/>
            </w:tcMar>
          </w:tcPr>
          <w:p>
            <w:pPr>
              <w:spacing w:after="0" w:line="247" w:lineRule="auto"/>
            </w:pPr>
            <w:r>
              <w:rPr>
                <w:color w:val="163342"/>
                <w:sz w:val="17"/>
              </w:rPr>
              <w:t>Google Ads management or paid local campaign automation</w:t>
            </w:r>
          </w:p>
        </w:tc>
      </w:tr>
      <w:tr>
        <w:tc>
          <w:tcPr>
            <w:tcW w:type="dxa" w:w="4680"/>
            <w:vAlign w:val="center"/>
            <w:tcMar>
              <w:top w:w="100" w:type="dxa"/>
              <w:start w:w="120" w:type="dxa"/>
              <w:bottom w:w="100" w:type="dxa"/>
              <w:end w:w="120" w:type="dxa"/>
            </w:tcMar>
          </w:tcPr>
          <w:p>
            <w:pPr>
              <w:spacing w:after="0" w:line="247" w:lineRule="auto"/>
            </w:pPr>
            <w:r>
              <w:rPr>
                <w:color w:val="163342"/>
                <w:sz w:val="17"/>
              </w:rPr>
              <w:t>Explicit export/handoff when direct action is unavailable</w:t>
            </w:r>
          </w:p>
        </w:tc>
        <w:tc>
          <w:tcPr>
            <w:tcW w:type="dxa" w:w="4680"/>
            <w:vAlign w:val="center"/>
            <w:tcMar>
              <w:top w:w="100" w:type="dxa"/>
              <w:start w:w="120" w:type="dxa"/>
              <w:bottom w:w="100" w:type="dxa"/>
              <w:end w:w="120" w:type="dxa"/>
            </w:tcMar>
          </w:tcPr>
          <w:p>
            <w:pPr>
              <w:spacing w:after="0" w:line="247" w:lineRule="auto"/>
            </w:pPr>
            <w:r>
              <w:rPr>
                <w:color w:val="163342"/>
                <w:sz w:val="17"/>
              </w:rPr>
              <w:t>Claims that an unsupported action was scheduled or published</w:t>
            </w:r>
          </w:p>
        </w:tc>
      </w:tr>
      <w:tr>
        <w:tc>
          <w:tcPr>
            <w:tcW w:type="dxa" w:w="4680"/>
            <w:vAlign w:val="center"/>
            <w:tcMar>
              <w:top w:w="100" w:type="dxa"/>
              <w:start w:w="120" w:type="dxa"/>
              <w:bottom w:w="100" w:type="dxa"/>
              <w:end w:w="120" w:type="dxa"/>
            </w:tcMar>
          </w:tcPr>
          <w:p>
            <w:pPr>
              <w:spacing w:after="0" w:line="247" w:lineRule="auto"/>
            </w:pPr>
            <w:r>
              <w:rPr>
                <w:color w:val="163342"/>
                <w:sz w:val="17"/>
              </w:rPr>
              <w:t>Local performance summary and report evidence</w:t>
            </w:r>
          </w:p>
        </w:tc>
        <w:tc>
          <w:tcPr>
            <w:tcW w:type="dxa" w:w="4680"/>
            <w:vAlign w:val="center"/>
            <w:tcMar>
              <w:top w:w="100" w:type="dxa"/>
              <w:start w:w="120" w:type="dxa"/>
              <w:bottom w:w="100" w:type="dxa"/>
              <w:end w:w="120" w:type="dxa"/>
            </w:tcMar>
          </w:tcPr>
          <w:p>
            <w:pPr>
              <w:spacing w:after="0" w:line="247" w:lineRule="auto"/>
            </w:pPr>
            <w:r>
              <w:rPr>
                <w:color w:val="163342"/>
                <w:sz w:val="17"/>
              </w:rPr>
              <w:t>A second analytics or reporting platform</w:t>
            </w:r>
          </w:p>
        </w:tc>
      </w:tr>
    </w:tbl>
    <w:p>
      <w:pPr>
        <w:spacing w:after="20"/>
      </w:pPr>
    </w:p>
    <w:p>
      <w:pPr>
        <w:spacing w:before="100" w:after="160"/>
        <w:ind w:left="173" w:right="173"/>
        <w:shd w:fill="EAF2F8"/>
        <w:pBdr>
          <w:top w:val="single" w:sz="5" w:space="4" w:color="CCD8E3"/>
          <w:left w:val="single" w:sz="5" w:space="4" w:color="CCD8E3"/>
          <w:bottom w:val="single" w:sz="5" w:space="4" w:color="CCD8E3"/>
          <w:right w:val="single" w:sz="5" w:space="4" w:color="CCD8E3"/>
        </w:pBdr>
      </w:pPr>
      <w:r>
        <w:rPr>
          <w:b/>
          <w:color w:val="10243E"/>
        </w:rPr>
        <w:t xml:space="preserve">Scope rule  </w:t>
      </w:r>
      <w:r>
        <w:t>Broader integrations cannot block launch. If Google approval, permissions or a specific API capability is unavailable, keep the read, strategy, creation, approval and explicit handoff workflow that is genuinely supported.</w:t>
      </w:r>
    </w:p>
    <w:p>
      <w:r>
        <w:br w:type="page"/>
      </w:r>
    </w:p>
    <w:p>
      <w:pPr>
        <w:pStyle w:val="Heading1"/>
        <w:keepNext/>
      </w:pPr>
      <w:r>
        <w:t>3. Ownership and Shared Data</w:t>
      </w:r>
    </w:p>
    <w:p>
      <w:r>
        <w:t>GBP is a shared intelligence source. The Integrations Hub owns the connection and provider behavior. Local SEO is the primary consumer. Other modules use normalized evidence instead of creating separate GBP connections.</w:t>
      </w:r>
    </w:p>
    <w:tbl>
      <w:tblPr>
        <w:tblW w:type="dxa" w:w="9360"/>
        <w:jc w:val="left"/>
        <w:tblLook w:firstColumn="1" w:firstRow="1" w:lastColumn="0" w:lastRow="0" w:noHBand="0" w:noVBand="1" w:val="04A0"/>
        <w:tblLayout w:type="fixed"/>
        <w:tblInd w:w="120" w:type="dxa"/>
        <w:tblBorders>
          <w:top w:val="single" w:sz="6" w:space="0" w:color="CCD8E3"/>
          <w:left w:val="single" w:sz="6" w:space="0" w:color="CCD8E3"/>
          <w:bottom w:val="single" w:sz="6" w:space="0" w:color="CCD8E3"/>
          <w:right w:val="single" w:sz="6" w:space="0" w:color="CCD8E3"/>
          <w:insideH w:val="single" w:sz="6" w:space="0" w:color="CCD8E3"/>
          <w:insideV w:val="single" w:sz="6" w:space="0" w:color="CCD8E3"/>
        </w:tblBorders>
      </w:tblPr>
      <w:tblGrid>
        <w:gridCol w:w="2400"/>
        <w:gridCol w:w="6960"/>
      </w:tblGrid>
      <w:tr>
        <w:trPr>
          <w:tblHeader w:val="true"/>
        </w:trPr>
        <w:tc>
          <w:tcPr>
            <w:tcW w:type="dxa" w:w="2400"/>
            <w:shd w:fill="EAF2F8"/>
            <w:vAlign w:val="center"/>
            <w:tcMar>
              <w:top w:w="100" w:type="dxa"/>
              <w:start w:w="120" w:type="dxa"/>
              <w:bottom w:w="100" w:type="dxa"/>
              <w:end w:w="120" w:type="dxa"/>
            </w:tcMar>
          </w:tcPr>
          <w:p>
            <w:r>
              <w:rPr>
                <w:b/>
                <w:color w:val="10243E"/>
                <w:sz w:val="17"/>
              </w:rPr>
              <w:t>Component</w:t>
            </w:r>
          </w:p>
        </w:tc>
        <w:tc>
          <w:tcPr>
            <w:tcW w:type="dxa" w:w="6960"/>
            <w:shd w:fill="EAF2F8"/>
            <w:vAlign w:val="center"/>
            <w:tcMar>
              <w:top w:w="100" w:type="dxa"/>
              <w:start w:w="120" w:type="dxa"/>
              <w:bottom w:w="100" w:type="dxa"/>
              <w:end w:w="120" w:type="dxa"/>
            </w:tcMar>
          </w:tcPr>
          <w:p>
            <w:r>
              <w:rPr>
                <w:b/>
                <w:color w:val="10243E"/>
                <w:sz w:val="17"/>
              </w:rPr>
              <w:t>Responsibility</w:t>
            </w:r>
          </w:p>
        </w:tc>
      </w:tr>
      <w:tr>
        <w:tc>
          <w:tcPr>
            <w:tcW w:type="dxa" w:w="2400"/>
            <w:vAlign w:val="center"/>
            <w:tcMar>
              <w:top w:w="100" w:type="dxa"/>
              <w:start w:w="120" w:type="dxa"/>
              <w:bottom w:w="100" w:type="dxa"/>
              <w:end w:w="120" w:type="dxa"/>
            </w:tcMar>
          </w:tcPr>
          <w:p>
            <w:pPr>
              <w:spacing w:after="0" w:line="247" w:lineRule="auto"/>
            </w:pPr>
            <w:r>
              <w:rPr>
                <w:color w:val="163342"/>
                <w:sz w:val="17"/>
              </w:rPr>
              <w:t>Integrations Hub</w:t>
            </w:r>
          </w:p>
        </w:tc>
        <w:tc>
          <w:tcPr>
            <w:tcW w:type="dxa" w:w="6960"/>
            <w:vAlign w:val="center"/>
            <w:tcMar>
              <w:top w:w="100" w:type="dxa"/>
              <w:start w:w="120" w:type="dxa"/>
              <w:bottom w:w="100" w:type="dxa"/>
              <w:end w:w="120" w:type="dxa"/>
            </w:tcMar>
          </w:tcPr>
          <w:p>
            <w:pPr>
              <w:spacing w:after="0" w:line="247" w:lineRule="auto"/>
            </w:pPr>
            <w:r>
              <w:rPr>
                <w:color w:val="163342"/>
                <w:sz w:val="17"/>
              </w:rPr>
              <w:t>OAuth, credentials, scopes, token refresh, account/location discovery, capability discovery, health, sync and disconnect.</w:t>
            </w:r>
          </w:p>
        </w:tc>
      </w:tr>
      <w:tr>
        <w:tc>
          <w:tcPr>
            <w:tcW w:type="dxa" w:w="2400"/>
            <w:vAlign w:val="center"/>
            <w:tcMar>
              <w:top w:w="100" w:type="dxa"/>
              <w:start w:w="120" w:type="dxa"/>
              <w:bottom w:w="100" w:type="dxa"/>
              <w:end w:w="120" w:type="dxa"/>
            </w:tcMar>
          </w:tcPr>
          <w:p>
            <w:pPr>
              <w:spacing w:after="0" w:line="247" w:lineRule="auto"/>
            </w:pPr>
            <w:r>
              <w:rPr>
                <w:color w:val="163342"/>
                <w:sz w:val="17"/>
              </w:rPr>
              <w:t>Local SEO</w:t>
            </w:r>
          </w:p>
        </w:tc>
        <w:tc>
          <w:tcPr>
            <w:tcW w:type="dxa" w:w="6960"/>
            <w:vAlign w:val="center"/>
            <w:tcMar>
              <w:top w:w="100" w:type="dxa"/>
              <w:start w:w="120" w:type="dxa"/>
              <w:bottom w:w="100" w:type="dxa"/>
              <w:end w:w="120" w:type="dxa"/>
            </w:tcMar>
          </w:tcPr>
          <w:p>
            <w:pPr>
              <w:spacing w:after="0" w:line="247" w:lineRule="auto"/>
            </w:pPr>
            <w:r>
              <w:rPr>
                <w:color w:val="163342"/>
                <w:sz w:val="17"/>
              </w:rPr>
              <w:t>Profile audit, local visibility diagnosis, prioritized recommendations, local plan and action context.</w:t>
            </w:r>
          </w:p>
        </w:tc>
      </w:tr>
      <w:tr>
        <w:tc>
          <w:tcPr>
            <w:tcW w:type="dxa" w:w="2400"/>
            <w:vAlign w:val="center"/>
            <w:tcMar>
              <w:top w:w="100" w:type="dxa"/>
              <w:start w:w="120" w:type="dxa"/>
              <w:bottom w:w="100" w:type="dxa"/>
              <w:end w:w="120" w:type="dxa"/>
            </w:tcMar>
          </w:tcPr>
          <w:p>
            <w:pPr>
              <w:spacing w:after="0" w:line="247" w:lineRule="auto"/>
            </w:pPr>
            <w:r>
              <w:rPr>
                <w:color w:val="163342"/>
                <w:sz w:val="17"/>
              </w:rPr>
              <w:t>Reputation</w:t>
            </w:r>
          </w:p>
        </w:tc>
        <w:tc>
          <w:tcPr>
            <w:tcW w:type="dxa" w:w="6960"/>
            <w:vAlign w:val="center"/>
            <w:tcMar>
              <w:top w:w="100" w:type="dxa"/>
              <w:start w:w="120" w:type="dxa"/>
              <w:bottom w:w="100" w:type="dxa"/>
              <w:end w:w="120" w:type="dxa"/>
            </w:tcMar>
          </w:tcPr>
          <w:p>
            <w:pPr>
              <w:spacing w:after="0" w:line="247" w:lineRule="auto"/>
            </w:pPr>
            <w:r>
              <w:rPr>
                <w:color w:val="163342"/>
                <w:sz w:val="17"/>
              </w:rPr>
              <w:t>Review ingestion, sentiment themes, response drafting, approval and supported reply action.</w:t>
            </w:r>
          </w:p>
        </w:tc>
      </w:tr>
      <w:tr>
        <w:tc>
          <w:tcPr>
            <w:tcW w:type="dxa" w:w="2400"/>
            <w:vAlign w:val="center"/>
            <w:tcMar>
              <w:top w:w="100" w:type="dxa"/>
              <w:start w:w="120" w:type="dxa"/>
              <w:bottom w:w="100" w:type="dxa"/>
              <w:end w:w="120" w:type="dxa"/>
            </w:tcMar>
          </w:tcPr>
          <w:p>
            <w:pPr>
              <w:spacing w:after="0" w:line="247" w:lineRule="auto"/>
            </w:pPr>
            <w:r>
              <w:rPr>
                <w:color w:val="163342"/>
                <w:sz w:val="17"/>
              </w:rPr>
              <w:t>Content/Social</w:t>
            </w:r>
          </w:p>
        </w:tc>
        <w:tc>
          <w:tcPr>
            <w:tcW w:type="dxa" w:w="6960"/>
            <w:vAlign w:val="center"/>
            <w:tcMar>
              <w:top w:w="100" w:type="dxa"/>
              <w:start w:w="120" w:type="dxa"/>
              <w:bottom w:w="100" w:type="dxa"/>
              <w:end w:w="120" w:type="dxa"/>
            </w:tcMar>
          </w:tcPr>
          <w:p>
            <w:pPr>
              <w:spacing w:after="0" w:line="247" w:lineRule="auto"/>
            </w:pPr>
            <w:r>
              <w:rPr>
                <w:color w:val="163342"/>
                <w:sz w:val="17"/>
              </w:rPr>
              <w:t>GBP update assets, campaign/calendar linkage, validation, approval and action/handoff routing.</w:t>
            </w:r>
          </w:p>
        </w:tc>
      </w:tr>
      <w:tr>
        <w:tc>
          <w:tcPr>
            <w:tcW w:type="dxa" w:w="2400"/>
            <w:vAlign w:val="center"/>
            <w:tcMar>
              <w:top w:w="100" w:type="dxa"/>
              <w:start w:w="120" w:type="dxa"/>
              <w:bottom w:w="100" w:type="dxa"/>
              <w:end w:w="120" w:type="dxa"/>
            </w:tcMar>
          </w:tcPr>
          <w:p>
            <w:pPr>
              <w:spacing w:after="0" w:line="247" w:lineRule="auto"/>
            </w:pPr>
            <w:r>
              <w:rPr>
                <w:color w:val="163342"/>
                <w:sz w:val="17"/>
              </w:rPr>
              <w:t>Publishing Gateway</w:t>
            </w:r>
          </w:p>
        </w:tc>
        <w:tc>
          <w:tcPr>
            <w:tcW w:type="dxa" w:w="6960"/>
            <w:vAlign w:val="center"/>
            <w:tcMar>
              <w:top w:w="100" w:type="dxa"/>
              <w:start w:w="120" w:type="dxa"/>
              <w:bottom w:w="100" w:type="dxa"/>
              <w:end w:w="120" w:type="dxa"/>
            </w:tcMar>
          </w:tcPr>
          <w:p>
            <w:pPr>
              <w:spacing w:after="0" w:line="247" w:lineRule="auto"/>
            </w:pPr>
            <w:r>
              <w:rPr>
                <w:color w:val="163342"/>
                <w:sz w:val="17"/>
              </w:rPr>
              <w:t>Idempotent direct action, provider response, remote identity, read-back verification and reconciliation.</w:t>
            </w:r>
          </w:p>
        </w:tc>
      </w:tr>
      <w:tr>
        <w:tc>
          <w:tcPr>
            <w:tcW w:type="dxa" w:w="2400"/>
            <w:vAlign w:val="center"/>
            <w:tcMar>
              <w:top w:w="100" w:type="dxa"/>
              <w:start w:w="120" w:type="dxa"/>
              <w:bottom w:w="100" w:type="dxa"/>
              <w:end w:w="120" w:type="dxa"/>
            </w:tcMar>
          </w:tcPr>
          <w:p>
            <w:pPr>
              <w:spacing w:after="0" w:line="247" w:lineRule="auto"/>
            </w:pPr>
            <w:r>
              <w:rPr>
                <w:color w:val="163342"/>
                <w:sz w:val="17"/>
              </w:rPr>
              <w:t>Growth Intelligence</w:t>
            </w:r>
          </w:p>
        </w:tc>
        <w:tc>
          <w:tcPr>
            <w:tcW w:type="dxa" w:w="6960"/>
            <w:vAlign w:val="center"/>
            <w:tcMar>
              <w:top w:w="100" w:type="dxa"/>
              <w:start w:w="120" w:type="dxa"/>
              <w:bottom w:w="100" w:type="dxa"/>
              <w:end w:w="120" w:type="dxa"/>
            </w:tcMar>
          </w:tcPr>
          <w:p>
            <w:pPr>
              <w:spacing w:after="0" w:line="247" w:lineRule="auto"/>
            </w:pPr>
            <w:r>
              <w:rPr>
                <w:color w:val="163342"/>
                <w:sz w:val="17"/>
              </w:rPr>
              <w:t>Interpret available performance and completed actions; identify opportunities and update the Growth Blueprint.</w:t>
            </w:r>
          </w:p>
        </w:tc>
      </w:tr>
      <w:tr>
        <w:tc>
          <w:tcPr>
            <w:tcW w:type="dxa" w:w="2400"/>
            <w:vAlign w:val="center"/>
            <w:tcMar>
              <w:top w:w="100" w:type="dxa"/>
              <w:start w:w="120" w:type="dxa"/>
              <w:bottom w:w="100" w:type="dxa"/>
              <w:end w:w="120" w:type="dxa"/>
            </w:tcMar>
          </w:tcPr>
          <w:p>
            <w:pPr>
              <w:spacing w:after="0" w:line="247" w:lineRule="auto"/>
            </w:pPr>
            <w:r>
              <w:rPr>
                <w:color w:val="163342"/>
                <w:sz w:val="17"/>
              </w:rPr>
              <w:t>Reports</w:t>
            </w:r>
          </w:p>
        </w:tc>
        <w:tc>
          <w:tcPr>
            <w:tcW w:type="dxa" w:w="6960"/>
            <w:vAlign w:val="center"/>
            <w:tcMar>
              <w:top w:w="100" w:type="dxa"/>
              <w:start w:w="120" w:type="dxa"/>
              <w:bottom w:w="100" w:type="dxa"/>
              <w:end w:w="120" w:type="dxa"/>
            </w:tcMar>
          </w:tcPr>
          <w:p>
            <w:pPr>
              <w:spacing w:after="0" w:line="247" w:lineRule="auto"/>
            </w:pPr>
            <w:r>
              <w:rPr>
                <w:color w:val="163342"/>
                <w:sz w:val="17"/>
              </w:rPr>
              <w:t>Present verified client-scoped work, available GBP results, limitations and Next Best Action.</w:t>
            </w:r>
          </w:p>
        </w:tc>
      </w:tr>
    </w:tbl>
    <w:p>
      <w:pPr>
        <w:spacing w:after="20"/>
      </w:pPr>
    </w:p>
    <w:p>
      <w:pPr>
        <w:pStyle w:val="Heading2"/>
        <w:keepNext/>
      </w:pPr>
      <w:r>
        <w:t>Data isolation</w:t>
      </w:r>
    </w:p>
    <w:p>
      <w:pPr>
        <w:pStyle w:val="ListBullet"/>
      </w:pPr>
      <w:r>
        <w:t>One connection belongs to one workspace and is mapped to the correct project, Agency client and business location.</w:t>
      </w:r>
    </w:p>
    <w:p>
      <w:pPr>
        <w:pStyle w:val="ListBullet"/>
      </w:pPr>
      <w:r>
        <w:t>A user sees only accounts and locations their Google authorization allows.</w:t>
      </w:r>
    </w:p>
    <w:p>
      <w:pPr>
        <w:pStyle w:val="ListBullet"/>
      </w:pPr>
      <w:r>
        <w:t>Agency client data must never appear in another client’s project, report or recommendation.</w:t>
      </w:r>
    </w:p>
    <w:p>
      <w:pPr>
        <w:pStyle w:val="ListBullet"/>
      </w:pPr>
      <w:r>
        <w:t>Provider credentials and tokens never enter AI prompts, logs, exports or client-visible diagnostics.</w:t>
      </w:r>
    </w:p>
    <w:p>
      <w:pPr>
        <w:pStyle w:val="ListBullet"/>
      </w:pPr>
      <w:r>
        <w:t>Store normalized evidence and limited operational snapshots according to current Google policy and retention requirements.</w:t>
      </w:r>
    </w:p>
    <w:p>
      <w:pPr>
        <w:pStyle w:val="Heading1"/>
        <w:keepNext/>
      </w:pPr>
      <w:r>
        <w:t>4. Connection and Capability Discovery</w:t>
      </w:r>
    </w:p>
    <w:p>
      <w:pPr>
        <w:pStyle w:val="Heading2"/>
        <w:keepNext/>
      </w:pPr>
      <w:r>
        <w:t>User flow</w:t>
      </w:r>
    </w:p>
    <w:p>
      <w:pPr>
        <w:pStyle w:val="ListBullet"/>
      </w:pPr>
      <w:r>
        <w:t>User clicks Connect Google Business Profile from Integrations or a Local SEO recommendation.</w:t>
      </w:r>
    </w:p>
    <w:p>
      <w:pPr>
        <w:pStyle w:val="ListBullet"/>
      </w:pPr>
      <w:r>
        <w:t>Show why the connection is needed and what data/actions are being requested.</w:t>
      </w:r>
    </w:p>
    <w:p>
      <w:pPr>
        <w:pStyle w:val="ListBullet"/>
      </w:pPr>
      <w:r>
        <w:t>Complete OAuth using the approved Google Cloud project and consent configuration.</w:t>
      </w:r>
    </w:p>
    <w:p>
      <w:pPr>
        <w:pStyle w:val="ListBullet"/>
      </w:pPr>
      <w:r>
        <w:t>Load authorized accounts and locations.</w:t>
      </w:r>
    </w:p>
    <w:p>
      <w:pPr>
        <w:pStyle w:val="ListBullet"/>
      </w:pPr>
      <w:r>
        <w:t>User selects the exact business location or maps several locations one at a time.</w:t>
      </w:r>
    </w:p>
    <w:p>
      <w:pPr>
        <w:pStyle w:val="ListBullet"/>
      </w:pPr>
      <w:r>
        <w:t>Validate ownership/manager access, location identity, verification state and available capabilities.</w:t>
      </w:r>
    </w:p>
    <w:p>
      <w:pPr>
        <w:pStyle w:val="ListBullet"/>
      </w:pPr>
      <w:r>
        <w:t>Save the mapping and run the first profile sync.</w:t>
      </w:r>
    </w:p>
    <w:p>
      <w:pPr>
        <w:pStyle w:val="ListBullet"/>
      </w:pPr>
      <w:r>
        <w:t>Show connection health, last successful sync and any limitation in plain language.</w:t>
      </w:r>
    </w:p>
    <w:p>
      <w:pPr>
        <w:pStyle w:val="Heading2"/>
        <w:keepNext/>
      </w:pPr>
      <w:r>
        <w:t>Connection states</w:t>
      </w:r>
    </w:p>
    <w:tbl>
      <w:tblPr>
        <w:tblW w:type="dxa" w:w="9360"/>
        <w:jc w:val="left"/>
        <w:tblLook w:firstColumn="1" w:firstRow="1" w:lastColumn="0" w:lastRow="0" w:noHBand="0" w:noVBand="1" w:val="04A0"/>
        <w:tblLayout w:type="fixed"/>
        <w:tblInd w:w="120" w:type="dxa"/>
        <w:tblBorders>
          <w:top w:val="single" w:sz="6" w:space="0" w:color="CCD8E3"/>
          <w:left w:val="single" w:sz="6" w:space="0" w:color="CCD8E3"/>
          <w:bottom w:val="single" w:sz="6" w:space="0" w:color="CCD8E3"/>
          <w:right w:val="single" w:sz="6" w:space="0" w:color="CCD8E3"/>
          <w:insideH w:val="single" w:sz="6" w:space="0" w:color="CCD8E3"/>
          <w:insideV w:val="single" w:sz="6" w:space="0" w:color="CCD8E3"/>
        </w:tblBorders>
      </w:tblPr>
      <w:tblGrid>
        <w:gridCol w:w="2450"/>
        <w:gridCol w:w="3500"/>
        <w:gridCol w:w="3410"/>
      </w:tblGrid>
      <w:tr>
        <w:trPr>
          <w:tblHeader w:val="true"/>
        </w:trPr>
        <w:tc>
          <w:tcPr>
            <w:tcW w:type="dxa" w:w="2450"/>
            <w:shd w:fill="EAF2F8"/>
            <w:vAlign w:val="center"/>
            <w:tcMar>
              <w:top w:w="100" w:type="dxa"/>
              <w:start w:w="120" w:type="dxa"/>
              <w:bottom w:w="100" w:type="dxa"/>
              <w:end w:w="120" w:type="dxa"/>
            </w:tcMar>
          </w:tcPr>
          <w:p>
            <w:r>
              <w:rPr>
                <w:b/>
                <w:color w:val="10243E"/>
                <w:sz w:val="16"/>
              </w:rPr>
              <w:t>State</w:t>
            </w:r>
          </w:p>
        </w:tc>
        <w:tc>
          <w:tcPr>
            <w:tcW w:type="dxa" w:w="3500"/>
            <w:shd w:fill="EAF2F8"/>
            <w:vAlign w:val="center"/>
            <w:tcMar>
              <w:top w:w="100" w:type="dxa"/>
              <w:start w:w="120" w:type="dxa"/>
              <w:bottom w:w="100" w:type="dxa"/>
              <w:end w:w="120" w:type="dxa"/>
            </w:tcMar>
          </w:tcPr>
          <w:p>
            <w:r>
              <w:rPr>
                <w:b/>
                <w:color w:val="10243E"/>
                <w:sz w:val="16"/>
              </w:rPr>
              <w:t>Meaning</w:t>
            </w:r>
          </w:p>
        </w:tc>
        <w:tc>
          <w:tcPr>
            <w:tcW w:type="dxa" w:w="3410"/>
            <w:shd w:fill="EAF2F8"/>
            <w:vAlign w:val="center"/>
            <w:tcMar>
              <w:top w:w="100" w:type="dxa"/>
              <w:start w:w="120" w:type="dxa"/>
              <w:bottom w:w="100" w:type="dxa"/>
              <w:end w:w="120" w:type="dxa"/>
            </w:tcMar>
          </w:tcPr>
          <w:p>
            <w:r>
              <w:rPr>
                <w:b/>
                <w:color w:val="10243E"/>
                <w:sz w:val="16"/>
              </w:rPr>
              <w:t>Required behavior</w:t>
            </w:r>
          </w:p>
        </w:tc>
      </w:tr>
      <w:tr>
        <w:tc>
          <w:tcPr>
            <w:tcW w:type="dxa" w:w="2450"/>
            <w:vAlign w:val="center"/>
            <w:tcMar>
              <w:top w:w="100" w:type="dxa"/>
              <w:start w:w="120" w:type="dxa"/>
              <w:bottom w:w="100" w:type="dxa"/>
              <w:end w:w="120" w:type="dxa"/>
            </w:tcMar>
          </w:tcPr>
          <w:p>
            <w:pPr>
              <w:spacing w:after="0" w:line="247" w:lineRule="auto"/>
            </w:pPr>
            <w:r>
              <w:rPr>
                <w:color w:val="163342"/>
                <w:sz w:val="16"/>
              </w:rPr>
              <w:t>NOT_CONNECTED</w:t>
            </w:r>
          </w:p>
        </w:tc>
        <w:tc>
          <w:tcPr>
            <w:tcW w:type="dxa" w:w="3500"/>
            <w:vAlign w:val="center"/>
            <w:tcMar>
              <w:top w:w="100" w:type="dxa"/>
              <w:start w:w="120" w:type="dxa"/>
              <w:bottom w:w="100" w:type="dxa"/>
              <w:end w:w="120" w:type="dxa"/>
            </w:tcMar>
          </w:tcPr>
          <w:p>
            <w:pPr>
              <w:spacing w:after="0" w:line="247" w:lineRule="auto"/>
            </w:pPr>
            <w:r>
              <w:rPr>
                <w:color w:val="163342"/>
                <w:sz w:val="16"/>
              </w:rPr>
              <w:t>No authorized connection exists.</w:t>
            </w:r>
          </w:p>
        </w:tc>
        <w:tc>
          <w:tcPr>
            <w:tcW w:type="dxa" w:w="3410"/>
            <w:vAlign w:val="center"/>
            <w:tcMar>
              <w:top w:w="100" w:type="dxa"/>
              <w:start w:w="120" w:type="dxa"/>
              <w:bottom w:w="100" w:type="dxa"/>
              <w:end w:w="120" w:type="dxa"/>
            </w:tcMar>
          </w:tcPr>
          <w:p>
            <w:pPr>
              <w:spacing w:after="0" w:line="247" w:lineRule="auto"/>
            </w:pPr>
            <w:r>
              <w:rPr>
                <w:color w:val="163342"/>
                <w:sz w:val="16"/>
              </w:rPr>
              <w:t>Offer Connect GBP when relevant.</w:t>
            </w:r>
          </w:p>
        </w:tc>
      </w:tr>
      <w:tr>
        <w:tc>
          <w:tcPr>
            <w:tcW w:type="dxa" w:w="2450"/>
            <w:vAlign w:val="center"/>
            <w:tcMar>
              <w:top w:w="100" w:type="dxa"/>
              <w:start w:w="120" w:type="dxa"/>
              <w:bottom w:w="100" w:type="dxa"/>
              <w:end w:w="120" w:type="dxa"/>
            </w:tcMar>
          </w:tcPr>
          <w:p>
            <w:pPr>
              <w:spacing w:after="0" w:line="247" w:lineRule="auto"/>
            </w:pPr>
            <w:r>
              <w:rPr>
                <w:color w:val="163342"/>
                <w:sz w:val="16"/>
              </w:rPr>
              <w:t>CONNECTED_READ_ONLY</w:t>
            </w:r>
          </w:p>
        </w:tc>
        <w:tc>
          <w:tcPr>
            <w:tcW w:type="dxa" w:w="3500"/>
            <w:vAlign w:val="center"/>
            <w:tcMar>
              <w:top w:w="100" w:type="dxa"/>
              <w:start w:w="120" w:type="dxa"/>
              <w:bottom w:w="100" w:type="dxa"/>
              <w:end w:w="120" w:type="dxa"/>
            </w:tcMar>
          </w:tcPr>
          <w:p>
            <w:pPr>
              <w:spacing w:after="0" w:line="247" w:lineRule="auto"/>
            </w:pPr>
            <w:r>
              <w:rPr>
                <w:color w:val="163342"/>
                <w:sz w:val="16"/>
              </w:rPr>
              <w:t>Profile can be read but supported writes are unavailable.</w:t>
            </w:r>
          </w:p>
        </w:tc>
        <w:tc>
          <w:tcPr>
            <w:tcW w:type="dxa" w:w="3410"/>
            <w:vAlign w:val="center"/>
            <w:tcMar>
              <w:top w:w="100" w:type="dxa"/>
              <w:start w:w="120" w:type="dxa"/>
              <w:bottom w:w="100" w:type="dxa"/>
              <w:end w:w="120" w:type="dxa"/>
            </w:tcMar>
          </w:tcPr>
          <w:p>
            <w:pPr>
              <w:spacing w:after="0" w:line="247" w:lineRule="auto"/>
            </w:pPr>
            <w:r>
              <w:rPr>
                <w:color w:val="163342"/>
                <w:sz w:val="16"/>
              </w:rPr>
              <w:t>Audit and prepare work; use explicit handoff.</w:t>
            </w:r>
          </w:p>
        </w:tc>
      </w:tr>
      <w:tr>
        <w:tc>
          <w:tcPr>
            <w:tcW w:type="dxa" w:w="2450"/>
            <w:vAlign w:val="center"/>
            <w:tcMar>
              <w:top w:w="100" w:type="dxa"/>
              <w:start w:w="120" w:type="dxa"/>
              <w:bottom w:w="100" w:type="dxa"/>
              <w:end w:w="120" w:type="dxa"/>
            </w:tcMar>
          </w:tcPr>
          <w:p>
            <w:pPr>
              <w:spacing w:after="0" w:line="247" w:lineRule="auto"/>
            </w:pPr>
            <w:r>
              <w:rPr>
                <w:color w:val="163342"/>
                <w:sz w:val="16"/>
              </w:rPr>
              <w:t>CONNECTED_READ_WRITE</w:t>
            </w:r>
          </w:p>
        </w:tc>
        <w:tc>
          <w:tcPr>
            <w:tcW w:type="dxa" w:w="3500"/>
            <w:vAlign w:val="center"/>
            <w:tcMar>
              <w:top w:w="100" w:type="dxa"/>
              <w:start w:w="120" w:type="dxa"/>
              <w:bottom w:w="100" w:type="dxa"/>
              <w:end w:w="120" w:type="dxa"/>
            </w:tcMar>
          </w:tcPr>
          <w:p>
            <w:pPr>
              <w:spacing w:after="0" w:line="247" w:lineRule="auto"/>
            </w:pPr>
            <w:r>
              <w:rPr>
                <w:color w:val="163342"/>
                <w:sz w:val="16"/>
              </w:rPr>
              <w:t>At least one approved write capability is available.</w:t>
            </w:r>
          </w:p>
        </w:tc>
        <w:tc>
          <w:tcPr>
            <w:tcW w:type="dxa" w:w="3410"/>
            <w:vAlign w:val="center"/>
            <w:tcMar>
              <w:top w:w="100" w:type="dxa"/>
              <w:start w:w="120" w:type="dxa"/>
              <w:bottom w:w="100" w:type="dxa"/>
              <w:end w:w="120" w:type="dxa"/>
            </w:tcMar>
          </w:tcPr>
          <w:p>
            <w:pPr>
              <w:spacing w:after="0" w:line="247" w:lineRule="auto"/>
            </w:pPr>
            <w:r>
              <w:rPr>
                <w:color w:val="163342"/>
                <w:sz w:val="16"/>
              </w:rPr>
              <w:t>Allow only the actions listed in the capability snapshot.</w:t>
            </w:r>
          </w:p>
        </w:tc>
      </w:tr>
      <w:tr>
        <w:tc>
          <w:tcPr>
            <w:tcW w:type="dxa" w:w="2450"/>
            <w:vAlign w:val="center"/>
            <w:tcMar>
              <w:top w:w="100" w:type="dxa"/>
              <w:start w:w="120" w:type="dxa"/>
              <w:bottom w:w="100" w:type="dxa"/>
              <w:end w:w="120" w:type="dxa"/>
            </w:tcMar>
          </w:tcPr>
          <w:p>
            <w:pPr>
              <w:spacing w:after="0" w:line="247" w:lineRule="auto"/>
            </w:pPr>
            <w:r>
              <w:rPr>
                <w:color w:val="163342"/>
                <w:sz w:val="16"/>
              </w:rPr>
              <w:t>LIMITED_PERMISSION</w:t>
            </w:r>
          </w:p>
        </w:tc>
        <w:tc>
          <w:tcPr>
            <w:tcW w:type="dxa" w:w="3500"/>
            <w:vAlign w:val="center"/>
            <w:tcMar>
              <w:top w:w="100" w:type="dxa"/>
              <w:start w:w="120" w:type="dxa"/>
              <w:bottom w:w="100" w:type="dxa"/>
              <w:end w:w="120" w:type="dxa"/>
            </w:tcMar>
          </w:tcPr>
          <w:p>
            <w:pPr>
              <w:spacing w:after="0" w:line="247" w:lineRule="auto"/>
            </w:pPr>
            <w:r>
              <w:rPr>
                <w:color w:val="163342"/>
                <w:sz w:val="16"/>
              </w:rPr>
              <w:t>Some requested locations or data are unavailable.</w:t>
            </w:r>
          </w:p>
        </w:tc>
        <w:tc>
          <w:tcPr>
            <w:tcW w:type="dxa" w:w="3410"/>
            <w:vAlign w:val="center"/>
            <w:tcMar>
              <w:top w:w="100" w:type="dxa"/>
              <w:start w:w="120" w:type="dxa"/>
              <w:bottom w:w="100" w:type="dxa"/>
              <w:end w:w="120" w:type="dxa"/>
            </w:tcMar>
          </w:tcPr>
          <w:p>
            <w:pPr>
              <w:spacing w:after="0" w:line="247" w:lineRule="auto"/>
            </w:pPr>
            <w:r>
              <w:rPr>
                <w:color w:val="163342"/>
                <w:sz w:val="16"/>
              </w:rPr>
              <w:t>Show the limitation and a permission recovery action.</w:t>
            </w:r>
          </w:p>
        </w:tc>
      </w:tr>
      <w:tr>
        <w:tc>
          <w:tcPr>
            <w:tcW w:type="dxa" w:w="2450"/>
            <w:vAlign w:val="center"/>
            <w:tcMar>
              <w:top w:w="100" w:type="dxa"/>
              <w:start w:w="120" w:type="dxa"/>
              <w:bottom w:w="100" w:type="dxa"/>
              <w:end w:w="120" w:type="dxa"/>
            </w:tcMar>
          </w:tcPr>
          <w:p>
            <w:pPr>
              <w:spacing w:after="0" w:line="247" w:lineRule="auto"/>
            </w:pPr>
            <w:r>
              <w:rPr>
                <w:color w:val="163342"/>
                <w:sz w:val="16"/>
              </w:rPr>
              <w:t>NEEDS_REAUTH</w:t>
            </w:r>
          </w:p>
        </w:tc>
        <w:tc>
          <w:tcPr>
            <w:tcW w:type="dxa" w:w="3500"/>
            <w:vAlign w:val="center"/>
            <w:tcMar>
              <w:top w:w="100" w:type="dxa"/>
              <w:start w:w="120" w:type="dxa"/>
              <w:bottom w:w="100" w:type="dxa"/>
              <w:end w:w="120" w:type="dxa"/>
            </w:tcMar>
          </w:tcPr>
          <w:p>
            <w:pPr>
              <w:spacing w:after="0" w:line="247" w:lineRule="auto"/>
            </w:pPr>
            <w:r>
              <w:rPr>
                <w:color w:val="163342"/>
                <w:sz w:val="16"/>
              </w:rPr>
              <w:t>Authorization expired, was revoked or needs updated consent.</w:t>
            </w:r>
          </w:p>
        </w:tc>
        <w:tc>
          <w:tcPr>
            <w:tcW w:type="dxa" w:w="3410"/>
            <w:vAlign w:val="center"/>
            <w:tcMar>
              <w:top w:w="100" w:type="dxa"/>
              <w:start w:w="120" w:type="dxa"/>
              <w:bottom w:w="100" w:type="dxa"/>
              <w:end w:w="120" w:type="dxa"/>
            </w:tcMar>
          </w:tcPr>
          <w:p>
            <w:pPr>
              <w:spacing w:after="0" w:line="247" w:lineRule="auto"/>
            </w:pPr>
            <w:r>
              <w:rPr>
                <w:color w:val="163342"/>
                <w:sz w:val="16"/>
              </w:rPr>
              <w:t>Pause sync/actions and offer Reconnect.</w:t>
            </w:r>
          </w:p>
        </w:tc>
      </w:tr>
      <w:tr>
        <w:tc>
          <w:tcPr>
            <w:tcW w:type="dxa" w:w="2450"/>
            <w:vAlign w:val="center"/>
            <w:tcMar>
              <w:top w:w="100" w:type="dxa"/>
              <w:start w:w="120" w:type="dxa"/>
              <w:bottom w:w="100" w:type="dxa"/>
              <w:end w:w="120" w:type="dxa"/>
            </w:tcMar>
          </w:tcPr>
          <w:p>
            <w:pPr>
              <w:spacing w:after="0" w:line="247" w:lineRule="auto"/>
            </w:pPr>
            <w:r>
              <w:rPr>
                <w:color w:val="163342"/>
                <w:sz w:val="16"/>
              </w:rPr>
              <w:t>SYNC_DELAYED</w:t>
            </w:r>
          </w:p>
        </w:tc>
        <w:tc>
          <w:tcPr>
            <w:tcW w:type="dxa" w:w="3500"/>
            <w:vAlign w:val="center"/>
            <w:tcMar>
              <w:top w:w="100" w:type="dxa"/>
              <w:start w:w="120" w:type="dxa"/>
              <w:bottom w:w="100" w:type="dxa"/>
              <w:end w:w="120" w:type="dxa"/>
            </w:tcMar>
          </w:tcPr>
          <w:p>
            <w:pPr>
              <w:spacing w:after="0" w:line="247" w:lineRule="auto"/>
            </w:pPr>
            <w:r>
              <w:rPr>
                <w:color w:val="163342"/>
                <w:sz w:val="16"/>
              </w:rPr>
              <w:t>Provider data has not refreshed on schedule.</w:t>
            </w:r>
          </w:p>
        </w:tc>
        <w:tc>
          <w:tcPr>
            <w:tcW w:type="dxa" w:w="3410"/>
            <w:vAlign w:val="center"/>
            <w:tcMar>
              <w:top w:w="100" w:type="dxa"/>
              <w:start w:w="120" w:type="dxa"/>
              <w:bottom w:w="100" w:type="dxa"/>
              <w:end w:w="120" w:type="dxa"/>
            </w:tcMar>
          </w:tcPr>
          <w:p>
            <w:pPr>
              <w:spacing w:after="0" w:line="247" w:lineRule="auto"/>
            </w:pPr>
            <w:r>
              <w:rPr>
                <w:color w:val="163342"/>
                <w:sz w:val="16"/>
              </w:rPr>
              <w:t>Show last successful sync; do not replace missing data with zero.</w:t>
            </w:r>
          </w:p>
        </w:tc>
      </w:tr>
      <w:tr>
        <w:tc>
          <w:tcPr>
            <w:tcW w:type="dxa" w:w="2450"/>
            <w:vAlign w:val="center"/>
            <w:tcMar>
              <w:top w:w="100" w:type="dxa"/>
              <w:start w:w="120" w:type="dxa"/>
              <w:bottom w:w="100" w:type="dxa"/>
              <w:end w:w="120" w:type="dxa"/>
            </w:tcMar>
          </w:tcPr>
          <w:p>
            <w:pPr>
              <w:spacing w:after="0" w:line="247" w:lineRule="auto"/>
            </w:pPr>
            <w:r>
              <w:rPr>
                <w:color w:val="163342"/>
                <w:sz w:val="16"/>
              </w:rPr>
              <w:t>ERROR</w:t>
            </w:r>
          </w:p>
        </w:tc>
        <w:tc>
          <w:tcPr>
            <w:tcW w:type="dxa" w:w="3500"/>
            <w:vAlign w:val="center"/>
            <w:tcMar>
              <w:top w:w="100" w:type="dxa"/>
              <w:start w:w="120" w:type="dxa"/>
              <w:bottom w:w="100" w:type="dxa"/>
              <w:end w:w="120" w:type="dxa"/>
            </w:tcMar>
          </w:tcPr>
          <w:p>
            <w:pPr>
              <w:spacing w:after="0" w:line="247" w:lineRule="auto"/>
            </w:pPr>
            <w:r>
              <w:rPr>
                <w:color w:val="163342"/>
                <w:sz w:val="16"/>
              </w:rPr>
              <w:t>Connection or provider request failed.</w:t>
            </w:r>
          </w:p>
        </w:tc>
        <w:tc>
          <w:tcPr>
            <w:tcW w:type="dxa" w:w="3410"/>
            <w:vAlign w:val="center"/>
            <w:tcMar>
              <w:top w:w="100" w:type="dxa"/>
              <w:start w:w="120" w:type="dxa"/>
              <w:bottom w:w="100" w:type="dxa"/>
              <w:end w:w="120" w:type="dxa"/>
            </w:tcMar>
          </w:tcPr>
          <w:p>
            <w:pPr>
              <w:spacing w:after="0" w:line="247" w:lineRule="auto"/>
            </w:pPr>
            <w:r>
              <w:rPr>
                <w:color w:val="163342"/>
                <w:sz w:val="16"/>
              </w:rPr>
              <w:t>Preserve saved work and show Retry or Reconnect.</w:t>
            </w:r>
          </w:p>
        </w:tc>
      </w:tr>
      <w:tr>
        <w:tc>
          <w:tcPr>
            <w:tcW w:type="dxa" w:w="2450"/>
            <w:vAlign w:val="center"/>
            <w:tcMar>
              <w:top w:w="100" w:type="dxa"/>
              <w:start w:w="120" w:type="dxa"/>
              <w:bottom w:w="100" w:type="dxa"/>
              <w:end w:w="120" w:type="dxa"/>
            </w:tcMar>
          </w:tcPr>
          <w:p>
            <w:pPr>
              <w:spacing w:after="0" w:line="247" w:lineRule="auto"/>
            </w:pPr>
            <w:r>
              <w:rPr>
                <w:color w:val="163342"/>
                <w:sz w:val="16"/>
              </w:rPr>
              <w:t>DISCONNECTED</w:t>
            </w:r>
          </w:p>
        </w:tc>
        <w:tc>
          <w:tcPr>
            <w:tcW w:type="dxa" w:w="3500"/>
            <w:vAlign w:val="center"/>
            <w:tcMar>
              <w:top w:w="100" w:type="dxa"/>
              <w:start w:w="120" w:type="dxa"/>
              <w:bottom w:w="100" w:type="dxa"/>
              <w:end w:w="120" w:type="dxa"/>
            </w:tcMar>
          </w:tcPr>
          <w:p>
            <w:pPr>
              <w:spacing w:after="0" w:line="247" w:lineRule="auto"/>
            </w:pPr>
            <w:r>
              <w:rPr>
                <w:color w:val="163342"/>
                <w:sz w:val="16"/>
              </w:rPr>
              <w:t>User ended the connection.</w:t>
            </w:r>
          </w:p>
        </w:tc>
        <w:tc>
          <w:tcPr>
            <w:tcW w:type="dxa" w:w="3410"/>
            <w:vAlign w:val="center"/>
            <w:tcMar>
              <w:top w:w="100" w:type="dxa"/>
              <w:start w:w="120" w:type="dxa"/>
              <w:bottom w:w="100" w:type="dxa"/>
              <w:end w:w="120" w:type="dxa"/>
            </w:tcMar>
          </w:tcPr>
          <w:p>
            <w:pPr>
              <w:spacing w:after="0" w:line="247" w:lineRule="auto"/>
            </w:pPr>
            <w:r>
              <w:rPr>
                <w:color w:val="163342"/>
                <w:sz w:val="16"/>
              </w:rPr>
              <w:t>Stop future sync/actions and apply required data-handling rules.</w:t>
            </w:r>
          </w:p>
        </w:tc>
      </w:tr>
    </w:tbl>
    <w:p>
      <w:pPr>
        <w:spacing w:after="20"/>
      </w:pPr>
    </w:p>
    <w:p>
      <w:pPr>
        <w:pStyle w:val="Heading2"/>
        <w:keepNext/>
      </w:pPr>
      <w:r>
        <w:t>Capability snapshot</w:t>
      </w:r>
    </w:p>
    <w:p>
      <w:r>
        <w:t>Store capability states separately. At minimum discover READ_PROFILE, READ_PERFORMANCE, READ_REVIEWS, READ_LOCAL_POSTS, WRITE_PROFILE_FIELDS, WRITE_REVIEW_REPLY and CREATE_LOCAL_POST. Never infer write access because read access works.</w:t>
      </w:r>
    </w:p>
    <w:p>
      <w:r>
        <w:br w:type="page"/>
      </w:r>
    </w:p>
    <w:p>
      <w:pPr>
        <w:pStyle w:val="Heading1"/>
        <w:keepNext/>
      </w:pPr>
      <w:r>
        <w:t>5. Data Read and Local Profile Audit</w:t>
      </w:r>
    </w:p>
    <w:p>
      <w:r>
        <w:t>The first sync creates a timestamped GBP snapshot. The Local SEO module compares it with the Business Brain, website and other available local evidence.</w:t>
      </w:r>
    </w:p>
    <w:tbl>
      <w:tblPr>
        <w:tblW w:type="dxa" w:w="9360"/>
        <w:jc w:val="left"/>
        <w:tblLook w:firstColumn="1" w:firstRow="1" w:lastColumn="0" w:lastRow="0" w:noHBand="0" w:noVBand="1" w:val="04A0"/>
        <w:tblLayout w:type="fixed"/>
        <w:tblInd w:w="120" w:type="dxa"/>
        <w:tblBorders>
          <w:top w:val="single" w:sz="6" w:space="0" w:color="CCD8E3"/>
          <w:left w:val="single" w:sz="6" w:space="0" w:color="CCD8E3"/>
          <w:bottom w:val="single" w:sz="6" w:space="0" w:color="CCD8E3"/>
          <w:right w:val="single" w:sz="6" w:space="0" w:color="CCD8E3"/>
          <w:insideH w:val="single" w:sz="6" w:space="0" w:color="CCD8E3"/>
          <w:insideV w:val="single" w:sz="6" w:space="0" w:color="CCD8E3"/>
        </w:tblBorders>
      </w:tblPr>
      <w:tblGrid>
        <w:gridCol w:w="2500"/>
        <w:gridCol w:w="6860"/>
      </w:tblGrid>
      <w:tr>
        <w:trPr>
          <w:tblHeader w:val="true"/>
        </w:trPr>
        <w:tc>
          <w:tcPr>
            <w:tcW w:type="dxa" w:w="2500"/>
            <w:shd w:fill="EAF2F8"/>
            <w:vAlign w:val="center"/>
            <w:tcMar>
              <w:top w:w="100" w:type="dxa"/>
              <w:start w:w="120" w:type="dxa"/>
              <w:bottom w:w="100" w:type="dxa"/>
              <w:end w:w="120" w:type="dxa"/>
            </w:tcMar>
          </w:tcPr>
          <w:p>
            <w:r>
              <w:rPr>
                <w:b/>
                <w:color w:val="10243E"/>
                <w:sz w:val="17"/>
              </w:rPr>
              <w:t>Data group</w:t>
            </w:r>
          </w:p>
        </w:tc>
        <w:tc>
          <w:tcPr>
            <w:tcW w:type="dxa" w:w="6860"/>
            <w:shd w:fill="EAF2F8"/>
            <w:vAlign w:val="center"/>
            <w:tcMar>
              <w:top w:w="100" w:type="dxa"/>
              <w:start w:w="120" w:type="dxa"/>
              <w:bottom w:w="100" w:type="dxa"/>
              <w:end w:w="120" w:type="dxa"/>
            </w:tcMar>
          </w:tcPr>
          <w:p>
            <w:r>
              <w:rPr>
                <w:b/>
                <w:color w:val="10243E"/>
                <w:sz w:val="17"/>
              </w:rPr>
              <w:t>V1 use</w:t>
            </w:r>
          </w:p>
        </w:tc>
      </w:tr>
      <w:tr>
        <w:tc>
          <w:tcPr>
            <w:tcW w:type="dxa" w:w="2500"/>
            <w:vAlign w:val="center"/>
            <w:tcMar>
              <w:top w:w="100" w:type="dxa"/>
              <w:start w:w="120" w:type="dxa"/>
              <w:bottom w:w="100" w:type="dxa"/>
              <w:end w:w="120" w:type="dxa"/>
            </w:tcMar>
          </w:tcPr>
          <w:p>
            <w:pPr>
              <w:spacing w:after="0" w:line="247" w:lineRule="auto"/>
            </w:pPr>
            <w:r>
              <w:rPr>
                <w:color w:val="163342"/>
                <w:sz w:val="17"/>
              </w:rPr>
              <w:t>Identity</w:t>
            </w:r>
          </w:p>
        </w:tc>
        <w:tc>
          <w:tcPr>
            <w:tcW w:type="dxa" w:w="6860"/>
            <w:vAlign w:val="center"/>
            <w:tcMar>
              <w:top w:w="100" w:type="dxa"/>
              <w:start w:w="120" w:type="dxa"/>
              <w:bottom w:w="100" w:type="dxa"/>
              <w:end w:w="120" w:type="dxa"/>
            </w:tcMar>
          </w:tcPr>
          <w:p>
            <w:pPr>
              <w:spacing w:after="0" w:line="247" w:lineRule="auto"/>
            </w:pPr>
            <w:r>
              <w:rPr>
                <w:color w:val="163342"/>
                <w:sz w:val="17"/>
              </w:rPr>
              <w:t>Business name, address or service-area setup, phone, website, location identity and status where available.</w:t>
            </w:r>
          </w:p>
        </w:tc>
      </w:tr>
      <w:tr>
        <w:tc>
          <w:tcPr>
            <w:tcW w:type="dxa" w:w="2500"/>
            <w:vAlign w:val="center"/>
            <w:tcMar>
              <w:top w:w="100" w:type="dxa"/>
              <w:start w:w="120" w:type="dxa"/>
              <w:bottom w:w="100" w:type="dxa"/>
              <w:end w:w="120" w:type="dxa"/>
            </w:tcMar>
          </w:tcPr>
          <w:p>
            <w:pPr>
              <w:spacing w:after="0" w:line="247" w:lineRule="auto"/>
            </w:pPr>
            <w:r>
              <w:rPr>
                <w:color w:val="163342"/>
                <w:sz w:val="17"/>
              </w:rPr>
              <w:t>Categories</w:t>
            </w:r>
          </w:p>
        </w:tc>
        <w:tc>
          <w:tcPr>
            <w:tcW w:type="dxa" w:w="6860"/>
            <w:vAlign w:val="center"/>
            <w:tcMar>
              <w:top w:w="100" w:type="dxa"/>
              <w:start w:w="120" w:type="dxa"/>
              <w:bottom w:w="100" w:type="dxa"/>
              <w:end w:w="120" w:type="dxa"/>
            </w:tcMar>
          </w:tcPr>
          <w:p>
            <w:pPr>
              <w:spacing w:after="0" w:line="247" w:lineRule="auto"/>
            </w:pPr>
            <w:r>
              <w:rPr>
                <w:color w:val="163342"/>
                <w:sz w:val="17"/>
              </w:rPr>
              <w:t>Primary and additional category alignment with the actual business and approved services.</w:t>
            </w:r>
          </w:p>
        </w:tc>
      </w:tr>
      <w:tr>
        <w:tc>
          <w:tcPr>
            <w:tcW w:type="dxa" w:w="2500"/>
            <w:vAlign w:val="center"/>
            <w:tcMar>
              <w:top w:w="100" w:type="dxa"/>
              <w:start w:w="120" w:type="dxa"/>
              <w:bottom w:w="100" w:type="dxa"/>
              <w:end w:w="120" w:type="dxa"/>
            </w:tcMar>
          </w:tcPr>
          <w:p>
            <w:pPr>
              <w:spacing w:after="0" w:line="247" w:lineRule="auto"/>
            </w:pPr>
            <w:r>
              <w:rPr>
                <w:color w:val="163342"/>
                <w:sz w:val="17"/>
              </w:rPr>
              <w:t>Services and description</w:t>
            </w:r>
          </w:p>
        </w:tc>
        <w:tc>
          <w:tcPr>
            <w:tcW w:type="dxa" w:w="6860"/>
            <w:vAlign w:val="center"/>
            <w:tcMar>
              <w:top w:w="100" w:type="dxa"/>
              <w:start w:w="120" w:type="dxa"/>
              <w:bottom w:w="100" w:type="dxa"/>
              <w:end w:w="120" w:type="dxa"/>
            </w:tcMar>
          </w:tcPr>
          <w:p>
            <w:pPr>
              <w:spacing w:after="0" w:line="247" w:lineRule="auto"/>
            </w:pPr>
            <w:r>
              <w:rPr>
                <w:color w:val="163342"/>
                <w:sz w:val="17"/>
              </w:rPr>
              <w:t>Completeness, accuracy and alignment with verified business information.</w:t>
            </w:r>
          </w:p>
        </w:tc>
      </w:tr>
      <w:tr>
        <w:tc>
          <w:tcPr>
            <w:tcW w:type="dxa" w:w="2500"/>
            <w:vAlign w:val="center"/>
            <w:tcMar>
              <w:top w:w="100" w:type="dxa"/>
              <w:start w:w="120" w:type="dxa"/>
              <w:bottom w:w="100" w:type="dxa"/>
              <w:end w:w="120" w:type="dxa"/>
            </w:tcMar>
          </w:tcPr>
          <w:p>
            <w:pPr>
              <w:spacing w:after="0" w:line="247" w:lineRule="auto"/>
            </w:pPr>
            <w:r>
              <w:rPr>
                <w:color w:val="163342"/>
                <w:sz w:val="17"/>
              </w:rPr>
              <w:t>Hours</w:t>
            </w:r>
          </w:p>
        </w:tc>
        <w:tc>
          <w:tcPr>
            <w:tcW w:type="dxa" w:w="6860"/>
            <w:vAlign w:val="center"/>
            <w:tcMar>
              <w:top w:w="100" w:type="dxa"/>
              <w:start w:w="120" w:type="dxa"/>
              <w:bottom w:w="100" w:type="dxa"/>
              <w:end w:w="120" w:type="dxa"/>
            </w:tcMar>
          </w:tcPr>
          <w:p>
            <w:pPr>
              <w:spacing w:after="0" w:line="247" w:lineRule="auto"/>
            </w:pPr>
            <w:r>
              <w:rPr>
                <w:color w:val="163342"/>
                <w:sz w:val="17"/>
              </w:rPr>
              <w:t>Regular and special-hour completeness and conflict detection where available.</w:t>
            </w:r>
          </w:p>
        </w:tc>
      </w:tr>
      <w:tr>
        <w:tc>
          <w:tcPr>
            <w:tcW w:type="dxa" w:w="2500"/>
            <w:vAlign w:val="center"/>
            <w:tcMar>
              <w:top w:w="100" w:type="dxa"/>
              <w:start w:w="120" w:type="dxa"/>
              <w:bottom w:w="100" w:type="dxa"/>
              <w:end w:w="120" w:type="dxa"/>
            </w:tcMar>
          </w:tcPr>
          <w:p>
            <w:pPr>
              <w:spacing w:after="0" w:line="247" w:lineRule="auto"/>
            </w:pPr>
            <w:r>
              <w:rPr>
                <w:color w:val="163342"/>
                <w:sz w:val="17"/>
              </w:rPr>
              <w:t>Service areas and location</w:t>
            </w:r>
          </w:p>
        </w:tc>
        <w:tc>
          <w:tcPr>
            <w:tcW w:type="dxa" w:w="6860"/>
            <w:vAlign w:val="center"/>
            <w:tcMar>
              <w:top w:w="100" w:type="dxa"/>
              <w:start w:w="120" w:type="dxa"/>
              <w:bottom w:w="100" w:type="dxa"/>
              <w:end w:w="120" w:type="dxa"/>
            </w:tcMar>
          </w:tcPr>
          <w:p>
            <w:pPr>
              <w:spacing w:after="0" w:line="247" w:lineRule="auto"/>
            </w:pPr>
            <w:r>
              <w:rPr>
                <w:color w:val="163342"/>
                <w:sz w:val="17"/>
              </w:rPr>
              <w:t>Compare served areas, target locations and website location claims without inventing areas.</w:t>
            </w:r>
          </w:p>
        </w:tc>
      </w:tr>
      <w:tr>
        <w:tc>
          <w:tcPr>
            <w:tcW w:type="dxa" w:w="2500"/>
            <w:vAlign w:val="center"/>
            <w:tcMar>
              <w:top w:w="100" w:type="dxa"/>
              <w:start w:w="120" w:type="dxa"/>
              <w:bottom w:w="100" w:type="dxa"/>
              <w:end w:w="120" w:type="dxa"/>
            </w:tcMar>
          </w:tcPr>
          <w:p>
            <w:pPr>
              <w:spacing w:after="0" w:line="247" w:lineRule="auto"/>
            </w:pPr>
            <w:r>
              <w:rPr>
                <w:color w:val="163342"/>
                <w:sz w:val="17"/>
              </w:rPr>
              <w:t>Attributes and links</w:t>
            </w:r>
          </w:p>
        </w:tc>
        <w:tc>
          <w:tcPr>
            <w:tcW w:type="dxa" w:w="6860"/>
            <w:vAlign w:val="center"/>
            <w:tcMar>
              <w:top w:w="100" w:type="dxa"/>
              <w:start w:w="120" w:type="dxa"/>
              <w:bottom w:w="100" w:type="dxa"/>
              <w:end w:w="120" w:type="dxa"/>
            </w:tcMar>
          </w:tcPr>
          <w:p>
            <w:pPr>
              <w:spacing w:after="0" w:line="247" w:lineRule="auto"/>
            </w:pPr>
            <w:r>
              <w:rPr>
                <w:color w:val="163342"/>
                <w:sz w:val="17"/>
              </w:rPr>
              <w:t>Identify useful missing or inconsistent fields that the API exposes.</w:t>
            </w:r>
          </w:p>
        </w:tc>
      </w:tr>
      <w:tr>
        <w:tc>
          <w:tcPr>
            <w:tcW w:type="dxa" w:w="2500"/>
            <w:vAlign w:val="center"/>
            <w:tcMar>
              <w:top w:w="100" w:type="dxa"/>
              <w:start w:w="120" w:type="dxa"/>
              <w:bottom w:w="100" w:type="dxa"/>
              <w:end w:w="120" w:type="dxa"/>
            </w:tcMar>
          </w:tcPr>
          <w:p>
            <w:pPr>
              <w:spacing w:after="0" w:line="247" w:lineRule="auto"/>
            </w:pPr>
            <w:r>
              <w:rPr>
                <w:color w:val="163342"/>
                <w:sz w:val="17"/>
              </w:rPr>
              <w:t>Reviews</w:t>
            </w:r>
          </w:p>
        </w:tc>
        <w:tc>
          <w:tcPr>
            <w:tcW w:type="dxa" w:w="6860"/>
            <w:vAlign w:val="center"/>
            <w:tcMar>
              <w:top w:w="100" w:type="dxa"/>
              <w:start w:w="120" w:type="dxa"/>
              <w:bottom w:w="100" w:type="dxa"/>
              <w:end w:w="120" w:type="dxa"/>
            </w:tcMar>
          </w:tcPr>
          <w:p>
            <w:pPr>
              <w:spacing w:after="0" w:line="247" w:lineRule="auto"/>
            </w:pPr>
            <w:r>
              <w:rPr>
                <w:color w:val="163342"/>
                <w:sz w:val="17"/>
              </w:rPr>
              <w:t>Rating/review trends, recurring themes, unanswered reviews and response opportunities.</w:t>
            </w:r>
          </w:p>
        </w:tc>
      </w:tr>
      <w:tr>
        <w:tc>
          <w:tcPr>
            <w:tcW w:type="dxa" w:w="2500"/>
            <w:vAlign w:val="center"/>
            <w:tcMar>
              <w:top w:w="100" w:type="dxa"/>
              <w:start w:w="120" w:type="dxa"/>
              <w:bottom w:w="100" w:type="dxa"/>
              <w:end w:w="120" w:type="dxa"/>
            </w:tcMar>
          </w:tcPr>
          <w:p>
            <w:pPr>
              <w:spacing w:after="0" w:line="247" w:lineRule="auto"/>
            </w:pPr>
            <w:r>
              <w:rPr>
                <w:color w:val="163342"/>
                <w:sz w:val="17"/>
              </w:rPr>
              <w:t>Updates/posts</w:t>
            </w:r>
          </w:p>
        </w:tc>
        <w:tc>
          <w:tcPr>
            <w:tcW w:type="dxa" w:w="6860"/>
            <w:vAlign w:val="center"/>
            <w:tcMar>
              <w:top w:w="100" w:type="dxa"/>
              <w:start w:w="120" w:type="dxa"/>
              <w:bottom w:w="100" w:type="dxa"/>
              <w:end w:w="120" w:type="dxa"/>
            </w:tcMar>
          </w:tcPr>
          <w:p>
            <w:pPr>
              <w:spacing w:after="0" w:line="247" w:lineRule="auto"/>
            </w:pPr>
            <w:r>
              <w:rPr>
                <w:color w:val="163342"/>
                <w:sz w:val="17"/>
              </w:rPr>
              <w:t>Recent activity and approved content opportunities where supported.</w:t>
            </w:r>
          </w:p>
        </w:tc>
      </w:tr>
      <w:tr>
        <w:tc>
          <w:tcPr>
            <w:tcW w:type="dxa" w:w="2500"/>
            <w:vAlign w:val="center"/>
            <w:tcMar>
              <w:top w:w="100" w:type="dxa"/>
              <w:start w:w="120" w:type="dxa"/>
              <w:bottom w:w="100" w:type="dxa"/>
              <w:end w:w="120" w:type="dxa"/>
            </w:tcMar>
          </w:tcPr>
          <w:p>
            <w:pPr>
              <w:spacing w:after="0" w:line="247" w:lineRule="auto"/>
            </w:pPr>
            <w:r>
              <w:rPr>
                <w:color w:val="163342"/>
                <w:sz w:val="17"/>
              </w:rPr>
              <w:t>Performance</w:t>
            </w:r>
          </w:p>
        </w:tc>
        <w:tc>
          <w:tcPr>
            <w:tcW w:type="dxa" w:w="6860"/>
            <w:vAlign w:val="center"/>
            <w:tcMar>
              <w:top w:w="100" w:type="dxa"/>
              <w:start w:w="120" w:type="dxa"/>
              <w:bottom w:w="100" w:type="dxa"/>
              <w:end w:w="120" w:type="dxa"/>
            </w:tcMar>
          </w:tcPr>
          <w:p>
            <w:pPr>
              <w:spacing w:after="0" w:line="247" w:lineRule="auto"/>
            </w:pPr>
            <w:r>
              <w:rPr>
                <w:color w:val="163342"/>
                <w:sz w:val="17"/>
              </w:rPr>
              <w:t>Available discovery, interaction and search-query metrics by mapped location.</w:t>
            </w:r>
          </w:p>
        </w:tc>
      </w:tr>
    </w:tbl>
    <w:p>
      <w:pPr>
        <w:spacing w:after="20"/>
      </w:pPr>
    </w:p>
    <w:p>
      <w:pPr>
        <w:pStyle w:val="Heading2"/>
        <w:keepNext/>
      </w:pPr>
      <w:r>
        <w:t>Audit output</w:t>
      </w:r>
    </w:p>
    <w:p>
      <w:pPr>
        <w:pStyle w:val="ListBullet"/>
      </w:pPr>
      <w:r>
        <w:t>Profile completeness and freshness findings.</w:t>
      </w:r>
    </w:p>
    <w:p>
      <w:pPr>
        <w:pStyle w:val="ListBullet"/>
      </w:pPr>
      <w:r>
        <w:t>Category, service, description, hours and service-area alignment findings.</w:t>
      </w:r>
    </w:p>
    <w:p>
      <w:pPr>
        <w:pStyle w:val="ListBullet"/>
      </w:pPr>
      <w:r>
        <w:t>Website URL and name/address/phone consistency findings.</w:t>
      </w:r>
    </w:p>
    <w:p>
      <w:pPr>
        <w:pStyle w:val="ListBullet"/>
      </w:pPr>
      <w:r>
        <w:t>Review/reputation opportunities and recurring customer themes.</w:t>
      </w:r>
    </w:p>
    <w:p>
      <w:pPr>
        <w:pStyle w:val="ListBullet"/>
      </w:pPr>
      <w:r>
        <w:t>GBP activity/content opportunities.</w:t>
      </w:r>
    </w:p>
    <w:p>
      <w:pPr>
        <w:pStyle w:val="ListBullet"/>
      </w:pPr>
      <w:r>
        <w:t>Available performance observations and data limitations.</w:t>
      </w:r>
    </w:p>
    <w:p>
      <w:pPr>
        <w:pStyle w:val="ListBullet"/>
      </w:pPr>
      <w:r>
        <w:t>A prioritized action list scored by expected impact, confidence and effort.</w:t>
      </w:r>
    </w:p>
    <w:p>
      <w:pPr>
        <w:spacing w:before="100" w:after="160"/>
        <w:ind w:left="173" w:right="173"/>
        <w:shd w:fill="EAF2F8"/>
        <w:pBdr>
          <w:top w:val="single" w:sz="5" w:space="4" w:color="CCD8E3"/>
          <w:left w:val="single" w:sz="5" w:space="4" w:color="CCD8E3"/>
          <w:bottom w:val="single" w:sz="5" w:space="4" w:color="CCD8E3"/>
          <w:right w:val="single" w:sz="5" w:space="4" w:color="CCD8E3"/>
        </w:pBdr>
      </w:pPr>
      <w:r>
        <w:rPr>
          <w:b/>
          <w:color w:val="10243E"/>
        </w:rPr>
        <w:t xml:space="preserve">Evidence rule  </w:t>
      </w:r>
      <w:r>
        <w:t>Do not fabricate business facts, service areas, categories, reviews, performance or Google availability. If data cannot be read, show Not Available, Permission Required, Delayed or Unsupported—not zero.</w:t>
      </w:r>
    </w:p>
    <w:p>
      <w:pPr>
        <w:pStyle w:val="Heading1"/>
        <w:keepNext/>
      </w:pPr>
      <w:r>
        <w:t>6. Recommendations, Approval and Action</w:t>
      </w:r>
    </w:p>
    <w:p>
      <w:r>
        <w:t>Every recommendation becomes or updates an Execution Plan task. The task explains what was found, why it matters, the proposed change, the expected outcome, the required approval and whether SEnuke AI can act directly.</w:t>
      </w:r>
    </w:p>
    <w:p>
      <w:pPr>
        <w:pStyle w:val="Heading2"/>
        <w:keepNext/>
      </w:pPr>
      <w:r>
        <w:t>Action modes</w:t>
      </w:r>
    </w:p>
    <w:tbl>
      <w:tblPr>
        <w:tblW w:type="dxa" w:w="9360"/>
        <w:jc w:val="left"/>
        <w:tblLook w:firstColumn="1" w:firstRow="1" w:lastColumn="0" w:lastRow="0" w:noHBand="0" w:noVBand="1" w:val="04A0"/>
        <w:tblLayout w:type="fixed"/>
        <w:tblInd w:w="120" w:type="dxa"/>
        <w:tblBorders>
          <w:top w:val="single" w:sz="6" w:space="0" w:color="CCD8E3"/>
          <w:left w:val="single" w:sz="6" w:space="0" w:color="CCD8E3"/>
          <w:bottom w:val="single" w:sz="6" w:space="0" w:color="CCD8E3"/>
          <w:right w:val="single" w:sz="6" w:space="0" w:color="CCD8E3"/>
          <w:insideH w:val="single" w:sz="6" w:space="0" w:color="CCD8E3"/>
          <w:insideV w:val="single" w:sz="6" w:space="0" w:color="CCD8E3"/>
        </w:tblBorders>
      </w:tblPr>
      <w:tblGrid>
        <w:gridCol w:w="2300"/>
        <w:gridCol w:w="4050"/>
        <w:gridCol w:w="3010"/>
      </w:tblGrid>
      <w:tr>
        <w:trPr>
          <w:tblHeader w:val="true"/>
        </w:trPr>
        <w:tc>
          <w:tcPr>
            <w:tcW w:type="dxa" w:w="2300"/>
            <w:shd w:fill="EAF2F8"/>
            <w:vAlign w:val="center"/>
            <w:tcMar>
              <w:top w:w="100" w:type="dxa"/>
              <w:start w:w="120" w:type="dxa"/>
              <w:bottom w:w="100" w:type="dxa"/>
              <w:end w:w="120" w:type="dxa"/>
            </w:tcMar>
          </w:tcPr>
          <w:p>
            <w:r>
              <w:rPr>
                <w:b/>
                <w:color w:val="10243E"/>
                <w:sz w:val="17"/>
              </w:rPr>
              <w:t>Mode</w:t>
            </w:r>
          </w:p>
        </w:tc>
        <w:tc>
          <w:tcPr>
            <w:tcW w:type="dxa" w:w="4050"/>
            <w:shd w:fill="EAF2F8"/>
            <w:vAlign w:val="center"/>
            <w:tcMar>
              <w:top w:w="100" w:type="dxa"/>
              <w:start w:w="120" w:type="dxa"/>
              <w:bottom w:w="100" w:type="dxa"/>
              <w:end w:w="120" w:type="dxa"/>
            </w:tcMar>
          </w:tcPr>
          <w:p>
            <w:r>
              <w:rPr>
                <w:b/>
                <w:color w:val="10243E"/>
                <w:sz w:val="17"/>
              </w:rPr>
              <w:t>Meaning</w:t>
            </w:r>
          </w:p>
        </w:tc>
        <w:tc>
          <w:tcPr>
            <w:tcW w:type="dxa" w:w="3010"/>
            <w:shd w:fill="EAF2F8"/>
            <w:vAlign w:val="center"/>
            <w:tcMar>
              <w:top w:w="100" w:type="dxa"/>
              <w:start w:w="120" w:type="dxa"/>
              <w:bottom w:w="100" w:type="dxa"/>
              <w:end w:w="120" w:type="dxa"/>
            </w:tcMar>
          </w:tcPr>
          <w:p>
            <w:r>
              <w:rPr>
                <w:b/>
                <w:color w:val="10243E"/>
                <w:sz w:val="17"/>
              </w:rPr>
              <w:t>User-facing result</w:t>
            </w:r>
          </w:p>
        </w:tc>
      </w:tr>
      <w:tr>
        <w:tc>
          <w:tcPr>
            <w:tcW w:type="dxa" w:w="2300"/>
            <w:vAlign w:val="center"/>
            <w:tcMar>
              <w:top w:w="100" w:type="dxa"/>
              <w:start w:w="120" w:type="dxa"/>
              <w:bottom w:w="100" w:type="dxa"/>
              <w:end w:w="120" w:type="dxa"/>
            </w:tcMar>
          </w:tcPr>
          <w:p>
            <w:pPr>
              <w:spacing w:after="0" w:line="247" w:lineRule="auto"/>
            </w:pPr>
            <w:r>
              <w:rPr>
                <w:color w:val="163342"/>
                <w:sz w:val="17"/>
              </w:rPr>
              <w:t>CREATE_ONLY</w:t>
            </w:r>
          </w:p>
        </w:tc>
        <w:tc>
          <w:tcPr>
            <w:tcW w:type="dxa" w:w="4050"/>
            <w:vAlign w:val="center"/>
            <w:tcMar>
              <w:top w:w="100" w:type="dxa"/>
              <w:start w:w="120" w:type="dxa"/>
              <w:bottom w:w="100" w:type="dxa"/>
              <w:end w:w="120" w:type="dxa"/>
            </w:tcMar>
          </w:tcPr>
          <w:p>
            <w:pPr>
              <w:spacing w:after="0" w:line="247" w:lineRule="auto"/>
            </w:pPr>
            <w:r>
              <w:rPr>
                <w:color w:val="163342"/>
                <w:sz w:val="17"/>
              </w:rPr>
              <w:t>SEnuke AI creates the proposed field change, update or reply.</w:t>
            </w:r>
          </w:p>
        </w:tc>
        <w:tc>
          <w:tcPr>
            <w:tcW w:type="dxa" w:w="3010"/>
            <w:vAlign w:val="center"/>
            <w:tcMar>
              <w:top w:w="100" w:type="dxa"/>
              <w:start w:w="120" w:type="dxa"/>
              <w:bottom w:w="100" w:type="dxa"/>
              <w:end w:w="120" w:type="dxa"/>
            </w:tcMar>
          </w:tcPr>
          <w:p>
            <w:pPr>
              <w:spacing w:after="0" w:line="247" w:lineRule="auto"/>
            </w:pPr>
            <w:r>
              <w:rPr>
                <w:color w:val="163342"/>
                <w:sz w:val="17"/>
              </w:rPr>
              <w:t>Draft ready for review.</w:t>
            </w:r>
          </w:p>
        </w:tc>
      </w:tr>
      <w:tr>
        <w:tc>
          <w:tcPr>
            <w:tcW w:type="dxa" w:w="2300"/>
            <w:vAlign w:val="center"/>
            <w:tcMar>
              <w:top w:w="100" w:type="dxa"/>
              <w:start w:w="120" w:type="dxa"/>
              <w:bottom w:w="100" w:type="dxa"/>
              <w:end w:w="120" w:type="dxa"/>
            </w:tcMar>
          </w:tcPr>
          <w:p>
            <w:pPr>
              <w:spacing w:after="0" w:line="247" w:lineRule="auto"/>
            </w:pPr>
            <w:r>
              <w:rPr>
                <w:color w:val="163342"/>
                <w:sz w:val="17"/>
              </w:rPr>
              <w:t>EXPORT_HANDOFF</w:t>
            </w:r>
          </w:p>
        </w:tc>
        <w:tc>
          <w:tcPr>
            <w:tcW w:type="dxa" w:w="4050"/>
            <w:vAlign w:val="center"/>
            <w:tcMar>
              <w:top w:w="100" w:type="dxa"/>
              <w:start w:w="120" w:type="dxa"/>
              <w:bottom w:w="100" w:type="dxa"/>
              <w:end w:w="120" w:type="dxa"/>
            </w:tcMar>
          </w:tcPr>
          <w:p>
            <w:pPr>
              <w:spacing w:after="0" w:line="247" w:lineRule="auto"/>
            </w:pPr>
            <w:r>
              <w:rPr>
                <w:color w:val="163342"/>
                <w:sz w:val="17"/>
              </w:rPr>
              <w:t>Direct action is unavailable or intentionally disabled.</w:t>
            </w:r>
          </w:p>
        </w:tc>
        <w:tc>
          <w:tcPr>
            <w:tcW w:type="dxa" w:w="3010"/>
            <w:vAlign w:val="center"/>
            <w:tcMar>
              <w:top w:w="100" w:type="dxa"/>
              <w:start w:w="120" w:type="dxa"/>
              <w:bottom w:w="100" w:type="dxa"/>
              <w:end w:w="120" w:type="dxa"/>
            </w:tcMar>
          </w:tcPr>
          <w:p>
            <w:pPr>
              <w:spacing w:after="0" w:line="247" w:lineRule="auto"/>
            </w:pPr>
            <w:r>
              <w:rPr>
                <w:color w:val="163342"/>
                <w:sz w:val="17"/>
              </w:rPr>
              <w:t>Copy/download/manual instructions; never Published.</w:t>
            </w:r>
          </w:p>
        </w:tc>
      </w:tr>
      <w:tr>
        <w:tc>
          <w:tcPr>
            <w:tcW w:type="dxa" w:w="2300"/>
            <w:vAlign w:val="center"/>
            <w:tcMar>
              <w:top w:w="100" w:type="dxa"/>
              <w:start w:w="120" w:type="dxa"/>
              <w:bottom w:w="100" w:type="dxa"/>
              <w:end w:w="120" w:type="dxa"/>
            </w:tcMar>
          </w:tcPr>
          <w:p>
            <w:pPr>
              <w:spacing w:after="0" w:line="247" w:lineRule="auto"/>
            </w:pPr>
            <w:r>
              <w:rPr>
                <w:color w:val="163342"/>
                <w:sz w:val="17"/>
              </w:rPr>
              <w:t>PUBLISH_DIRECT</w:t>
            </w:r>
          </w:p>
        </w:tc>
        <w:tc>
          <w:tcPr>
            <w:tcW w:type="dxa" w:w="4050"/>
            <w:vAlign w:val="center"/>
            <w:tcMar>
              <w:top w:w="100" w:type="dxa"/>
              <w:start w:w="120" w:type="dxa"/>
              <w:bottom w:w="100" w:type="dxa"/>
              <w:end w:w="120" w:type="dxa"/>
            </w:tcMar>
          </w:tcPr>
          <w:p>
            <w:pPr>
              <w:spacing w:after="0" w:line="247" w:lineRule="auto"/>
            </w:pPr>
            <w:r>
              <w:rPr>
                <w:color w:val="163342"/>
                <w:sz w:val="17"/>
              </w:rPr>
              <w:t>The current connection supports the exact action.</w:t>
            </w:r>
          </w:p>
        </w:tc>
        <w:tc>
          <w:tcPr>
            <w:tcW w:type="dxa" w:w="3010"/>
            <w:vAlign w:val="center"/>
            <w:tcMar>
              <w:top w:w="100" w:type="dxa"/>
              <w:start w:w="120" w:type="dxa"/>
              <w:bottom w:w="100" w:type="dxa"/>
              <w:end w:w="120" w:type="dxa"/>
            </w:tcMar>
          </w:tcPr>
          <w:p>
            <w:pPr>
              <w:spacing w:after="0" w:line="247" w:lineRule="auto"/>
            </w:pPr>
            <w:r>
              <w:rPr>
                <w:color w:val="163342"/>
                <w:sz w:val="17"/>
              </w:rPr>
              <w:t>Approval required, then action through Publishing Gateway.</w:t>
            </w:r>
          </w:p>
        </w:tc>
      </w:tr>
      <w:tr>
        <w:tc>
          <w:tcPr>
            <w:tcW w:type="dxa" w:w="2300"/>
            <w:vAlign w:val="center"/>
            <w:tcMar>
              <w:top w:w="100" w:type="dxa"/>
              <w:start w:w="120" w:type="dxa"/>
              <w:bottom w:w="100" w:type="dxa"/>
              <w:end w:w="120" w:type="dxa"/>
            </w:tcMar>
          </w:tcPr>
          <w:p>
            <w:pPr>
              <w:spacing w:after="0" w:line="247" w:lineRule="auto"/>
            </w:pPr>
            <w:r>
              <w:rPr>
                <w:color w:val="163342"/>
                <w:sz w:val="17"/>
              </w:rPr>
              <w:t>READ_METRICS</w:t>
            </w:r>
          </w:p>
        </w:tc>
        <w:tc>
          <w:tcPr>
            <w:tcW w:type="dxa" w:w="4050"/>
            <w:vAlign w:val="center"/>
            <w:tcMar>
              <w:top w:w="100" w:type="dxa"/>
              <w:start w:w="120" w:type="dxa"/>
              <w:bottom w:w="100" w:type="dxa"/>
              <w:end w:w="120" w:type="dxa"/>
            </w:tcMar>
          </w:tcPr>
          <w:p>
            <w:pPr>
              <w:spacing w:after="0" w:line="247" w:lineRule="auto"/>
            </w:pPr>
            <w:r>
              <w:rPr>
                <w:color w:val="163342"/>
                <w:sz w:val="17"/>
              </w:rPr>
              <w:t>The connection supports performance retrieval.</w:t>
            </w:r>
          </w:p>
        </w:tc>
        <w:tc>
          <w:tcPr>
            <w:tcW w:type="dxa" w:w="3010"/>
            <w:vAlign w:val="center"/>
            <w:tcMar>
              <w:top w:w="100" w:type="dxa"/>
              <w:start w:w="120" w:type="dxa"/>
              <w:bottom w:w="100" w:type="dxa"/>
              <w:end w:w="120" w:type="dxa"/>
            </w:tcMar>
          </w:tcPr>
          <w:p>
            <w:pPr>
              <w:spacing w:after="0" w:line="247" w:lineRule="auto"/>
            </w:pPr>
            <w:r>
              <w:rPr>
                <w:color w:val="163342"/>
                <w:sz w:val="17"/>
              </w:rPr>
              <w:t>Available results appear with source freshness.</w:t>
            </w:r>
          </w:p>
        </w:tc>
      </w:tr>
    </w:tbl>
    <w:p>
      <w:pPr>
        <w:spacing w:after="20"/>
      </w:pPr>
    </w:p>
    <w:p>
      <w:pPr>
        <w:pStyle w:val="Heading2"/>
        <w:keepNext/>
      </w:pPr>
      <w:r>
        <w:t>Protected-action workflow</w:t>
      </w:r>
    </w:p>
    <w:p>
      <w:pPr>
        <w:pStyle w:val="ListBullet"/>
      </w:pPr>
      <w:r>
        <w:t>Generate a proposed change from verified business facts and the approved Strategy.</w:t>
      </w:r>
    </w:p>
    <w:p>
      <w:pPr>
        <w:pStyle w:val="ListBullet"/>
      </w:pPr>
      <w:r>
        <w:t>Show a before/after preview and identify the exact location and fields/content affected.</w:t>
      </w:r>
    </w:p>
    <w:p>
      <w:pPr>
        <w:pStyle w:val="ListBullet"/>
      </w:pPr>
      <w:r>
        <w:t>Run factual, business-policy, channel and claim validation.</w:t>
      </w:r>
    </w:p>
    <w:p>
      <w:pPr>
        <w:pStyle w:val="ListBullet"/>
      </w:pPr>
      <w:r>
        <w:t>Require approval for the immutable version unless an allowed pre-approval policy explicitly covers it.</w:t>
      </w:r>
    </w:p>
    <w:p>
      <w:pPr>
        <w:pStyle w:val="ListBullet"/>
      </w:pPr>
      <w:r>
        <w:t>Immediately recheck permission, connection health and capability before acting.</w:t>
      </w:r>
    </w:p>
    <w:p>
      <w:pPr>
        <w:pStyle w:val="ListBullet"/>
      </w:pPr>
      <w:r>
        <w:t>Execute once with an idempotency key and preserve the provider request/reference.</w:t>
      </w:r>
    </w:p>
    <w:p>
      <w:pPr>
        <w:pStyle w:val="ListBullet"/>
      </w:pPr>
      <w:r>
        <w:t>Read back the remote object or field when supported; a provider acceptance response alone is not success.</w:t>
      </w:r>
    </w:p>
    <w:p>
      <w:pPr>
        <w:pStyle w:val="ListBullet"/>
      </w:pPr>
      <w:r>
        <w:t>Record Completed, Verification Pending, Failed or Handoff Required and show the recovery action.</w:t>
      </w:r>
    </w:p>
    <w:p>
      <w:pPr>
        <w:spacing w:before="100" w:after="160"/>
        <w:ind w:left="173" w:right="173"/>
        <w:shd w:fill="EAF2F8"/>
        <w:pBdr>
          <w:top w:val="single" w:sz="5" w:space="4" w:color="CCD8E3"/>
          <w:left w:val="single" w:sz="5" w:space="4" w:color="CCD8E3"/>
          <w:bottom w:val="single" w:sz="5" w:space="4" w:color="CCD8E3"/>
          <w:right w:val="single" w:sz="5" w:space="4" w:color="CCD8E3"/>
        </w:pBdr>
      </w:pPr>
      <w:r>
        <w:rPr>
          <w:b/>
          <w:color w:val="10243E"/>
        </w:rPr>
        <w:t xml:space="preserve">No silent automation  </w:t>
      </w:r>
      <w:r>
        <w:t>Do not automatically edit listings, publish updates or reply to reviews without the user’s prior specific authorization and the current approved SEnuke AI action policy.</w:t>
      </w:r>
    </w:p>
    <w:p>
      <w:r>
        <w:br w:type="page"/>
      </w:r>
    </w:p>
    <w:p>
      <w:pPr>
        <w:pStyle w:val="Heading1"/>
        <w:keepNext/>
      </w:pPr>
      <w:r>
        <w:t>7. Reviews and GBP Updates</w:t>
      </w:r>
    </w:p>
    <w:p>
      <w:pPr>
        <w:pStyle w:val="Heading2"/>
        <w:keepNext/>
      </w:pPr>
      <w:r>
        <w:t>Reviews</w:t>
      </w:r>
    </w:p>
    <w:p>
      <w:pPr>
        <w:pStyle w:val="ListBullet"/>
      </w:pPr>
      <w:r>
        <w:t>Import available reviews for the mapped location.</w:t>
      </w:r>
    </w:p>
    <w:p>
      <w:pPr>
        <w:pStyle w:val="ListBullet"/>
      </w:pPr>
      <w:r>
        <w:t>Show rating, date, comment, current reply state and safe normalized sentiment/theme data where permitted.</w:t>
      </w:r>
    </w:p>
    <w:p>
      <w:pPr>
        <w:pStyle w:val="ListBullet"/>
      </w:pPr>
      <w:r>
        <w:t>Identify urgent negative reviews and recurring strengths or complaints.</w:t>
      </w:r>
    </w:p>
    <w:p>
      <w:pPr>
        <w:pStyle w:val="ListBullet"/>
      </w:pPr>
      <w:r>
        <w:t>Draft a professional reply using the approved business voice without inventing facts or admitting liability.</w:t>
      </w:r>
    </w:p>
    <w:p>
      <w:pPr>
        <w:pStyle w:val="ListBullet"/>
      </w:pPr>
      <w:r>
        <w:t>Allow Edit, Revise, Regenerate, Compare and Approve.</w:t>
      </w:r>
    </w:p>
    <w:p>
      <w:pPr>
        <w:pStyle w:val="ListBullet"/>
      </w:pPr>
      <w:r>
        <w:t>Publish the exact approved reply only when WRITE_REVIEW_REPLY is available; otherwise provide handoff.</w:t>
      </w:r>
    </w:p>
    <w:p>
      <w:pPr>
        <w:pStyle w:val="ListBullet"/>
      </w:pPr>
      <w:r>
        <w:t>Verify the remote reply when possible and preserve history.</w:t>
      </w:r>
    </w:p>
    <w:p>
      <w:pPr>
        <w:pStyle w:val="Heading2"/>
        <w:keepNext/>
      </w:pPr>
      <w:r>
        <w:t>GBP updates</w:t>
      </w:r>
    </w:p>
    <w:p>
      <w:pPr>
        <w:pStyle w:val="ListBullet"/>
      </w:pPr>
      <w:r>
        <w:t>Create channel-native GBP update assets from an approved campaign, content source or local recommendation.</w:t>
      </w:r>
    </w:p>
    <w:p>
      <w:pPr>
        <w:pStyle w:val="ListBullet"/>
      </w:pPr>
      <w:r>
        <w:t>Support the content types that the live connector actually reports, such as standard updates, offers or events.</w:t>
      </w:r>
    </w:p>
    <w:p>
      <w:pPr>
        <w:pStyle w:val="ListBullet"/>
      </w:pPr>
      <w:r>
        <w:t>Validate dates, offer terms, links, calls to action, claims, media requirements and source faithfulness.</w:t>
      </w:r>
    </w:p>
    <w:p>
      <w:pPr>
        <w:pStyle w:val="ListBullet"/>
      </w:pPr>
      <w:r>
        <w:t>Keep every update linked to its approved source, Message Contract and asset version.</w:t>
      </w:r>
    </w:p>
    <w:p>
      <w:pPr>
        <w:pStyle w:val="ListBullet"/>
      </w:pPr>
      <w:r>
        <w:t>Publish only when CREATE_LOCAL_POST is enabled and approval is valid; otherwise provide explicit handoff.</w:t>
      </w:r>
    </w:p>
    <w:p>
      <w:pPr>
        <w:pStyle w:val="ListBullet"/>
      </w:pPr>
      <w:r>
        <w:t>Never present asset creation as evidence that a connector or direct publishing capability exists.</w:t>
      </w:r>
    </w:p>
    <w:p>
      <w:pPr>
        <w:pStyle w:val="Heading1"/>
        <w:keepNext/>
      </w:pPr>
      <w:r>
        <w:t>8. Performance, Reporting and Next Best Action</w:t>
      </w:r>
    </w:p>
    <w:p>
      <w:r>
        <w:t>GBP performance is supporting evidence inside the Local SEO and overall growth workflow. The screen must stay simple and explain what changed, what the available data indicates and what should happen next.</w:t>
      </w:r>
    </w:p>
    <w:tbl>
      <w:tblPr>
        <w:tblW w:type="dxa" w:w="9360"/>
        <w:jc w:val="left"/>
        <w:tblLook w:firstColumn="1" w:firstRow="1" w:lastColumn="0" w:lastRow="0" w:noHBand="0" w:noVBand="1" w:val="04A0"/>
        <w:tblLayout w:type="fixed"/>
        <w:tblInd w:w="120" w:type="dxa"/>
        <w:tblBorders>
          <w:top w:val="single" w:sz="6" w:space="0" w:color="CCD8E3"/>
          <w:left w:val="single" w:sz="6" w:space="0" w:color="CCD8E3"/>
          <w:bottom w:val="single" w:sz="6" w:space="0" w:color="CCD8E3"/>
          <w:right w:val="single" w:sz="6" w:space="0" w:color="CCD8E3"/>
          <w:insideH w:val="single" w:sz="6" w:space="0" w:color="CCD8E3"/>
          <w:insideV w:val="single" w:sz="6" w:space="0" w:color="CCD8E3"/>
        </w:tblBorders>
      </w:tblPr>
      <w:tblGrid>
        <w:gridCol w:w="2500"/>
        <w:gridCol w:w="6860"/>
      </w:tblGrid>
      <w:tr>
        <w:trPr>
          <w:tblHeader w:val="true"/>
        </w:trPr>
        <w:tc>
          <w:tcPr>
            <w:tcW w:type="dxa" w:w="2500"/>
            <w:shd w:fill="EAF2F8"/>
            <w:vAlign w:val="center"/>
            <w:tcMar>
              <w:top w:w="100" w:type="dxa"/>
              <w:start w:w="120" w:type="dxa"/>
              <w:bottom w:w="100" w:type="dxa"/>
              <w:end w:w="120" w:type="dxa"/>
            </w:tcMar>
          </w:tcPr>
          <w:p>
            <w:r>
              <w:rPr>
                <w:b/>
                <w:color w:val="10243E"/>
                <w:sz w:val="17"/>
              </w:rPr>
              <w:t>Block</w:t>
            </w:r>
          </w:p>
        </w:tc>
        <w:tc>
          <w:tcPr>
            <w:tcW w:type="dxa" w:w="6860"/>
            <w:shd w:fill="EAF2F8"/>
            <w:vAlign w:val="center"/>
            <w:tcMar>
              <w:top w:w="100" w:type="dxa"/>
              <w:start w:w="120" w:type="dxa"/>
              <w:bottom w:w="100" w:type="dxa"/>
              <w:end w:w="120" w:type="dxa"/>
            </w:tcMar>
          </w:tcPr>
          <w:p>
            <w:r>
              <w:rPr>
                <w:b/>
                <w:color w:val="10243E"/>
                <w:sz w:val="17"/>
              </w:rPr>
              <w:t>What it shows</w:t>
            </w:r>
          </w:p>
        </w:tc>
      </w:tr>
      <w:tr>
        <w:tc>
          <w:tcPr>
            <w:tcW w:type="dxa" w:w="2500"/>
            <w:vAlign w:val="center"/>
            <w:tcMar>
              <w:top w:w="100" w:type="dxa"/>
              <w:start w:w="120" w:type="dxa"/>
              <w:bottom w:w="100" w:type="dxa"/>
              <w:end w:w="120" w:type="dxa"/>
            </w:tcMar>
          </w:tcPr>
          <w:p>
            <w:pPr>
              <w:spacing w:after="0" w:line="247" w:lineRule="auto"/>
            </w:pPr>
            <w:r>
              <w:rPr>
                <w:color w:val="163342"/>
                <w:sz w:val="17"/>
              </w:rPr>
              <w:t>Connection health</w:t>
            </w:r>
          </w:p>
        </w:tc>
        <w:tc>
          <w:tcPr>
            <w:tcW w:type="dxa" w:w="6860"/>
            <w:vAlign w:val="center"/>
            <w:tcMar>
              <w:top w:w="100" w:type="dxa"/>
              <w:start w:w="120" w:type="dxa"/>
              <w:bottom w:w="100" w:type="dxa"/>
              <w:end w:w="120" w:type="dxa"/>
            </w:tcMar>
          </w:tcPr>
          <w:p>
            <w:pPr>
              <w:spacing w:after="0" w:line="247" w:lineRule="auto"/>
            </w:pPr>
            <w:r>
              <w:rPr>
                <w:color w:val="163342"/>
                <w:sz w:val="17"/>
              </w:rPr>
              <w:t>Connected state, mapped location, permissions, last successful sync and limitation.</w:t>
            </w:r>
          </w:p>
        </w:tc>
      </w:tr>
      <w:tr>
        <w:tc>
          <w:tcPr>
            <w:tcW w:type="dxa" w:w="2500"/>
            <w:vAlign w:val="center"/>
            <w:tcMar>
              <w:top w:w="100" w:type="dxa"/>
              <w:start w:w="120" w:type="dxa"/>
              <w:bottom w:w="100" w:type="dxa"/>
              <w:end w:w="120" w:type="dxa"/>
            </w:tcMar>
          </w:tcPr>
          <w:p>
            <w:pPr>
              <w:spacing w:after="0" w:line="247" w:lineRule="auto"/>
            </w:pPr>
            <w:r>
              <w:rPr>
                <w:color w:val="163342"/>
                <w:sz w:val="17"/>
              </w:rPr>
              <w:t>Profile status</w:t>
            </w:r>
          </w:p>
        </w:tc>
        <w:tc>
          <w:tcPr>
            <w:tcW w:type="dxa" w:w="6860"/>
            <w:vAlign w:val="center"/>
            <w:tcMar>
              <w:top w:w="100" w:type="dxa"/>
              <w:start w:w="120" w:type="dxa"/>
              <w:bottom w:w="100" w:type="dxa"/>
              <w:end w:w="120" w:type="dxa"/>
            </w:tcMar>
          </w:tcPr>
          <w:p>
            <w:pPr>
              <w:spacing w:after="0" w:line="247" w:lineRule="auto"/>
            </w:pPr>
            <w:r>
              <w:rPr>
                <w:color w:val="163342"/>
                <w:sz w:val="17"/>
              </w:rPr>
              <w:t>Important completeness/alignment findings and unresolved issues.</w:t>
            </w:r>
          </w:p>
        </w:tc>
      </w:tr>
      <w:tr>
        <w:tc>
          <w:tcPr>
            <w:tcW w:type="dxa" w:w="2500"/>
            <w:vAlign w:val="center"/>
            <w:tcMar>
              <w:top w:w="100" w:type="dxa"/>
              <w:start w:w="120" w:type="dxa"/>
              <w:bottom w:w="100" w:type="dxa"/>
              <w:end w:w="120" w:type="dxa"/>
            </w:tcMar>
          </w:tcPr>
          <w:p>
            <w:pPr>
              <w:spacing w:after="0" w:line="247" w:lineRule="auto"/>
            </w:pPr>
            <w:r>
              <w:rPr>
                <w:color w:val="163342"/>
                <w:sz w:val="17"/>
              </w:rPr>
              <w:t>Customer activity</w:t>
            </w:r>
          </w:p>
        </w:tc>
        <w:tc>
          <w:tcPr>
            <w:tcW w:type="dxa" w:w="6860"/>
            <w:vAlign w:val="center"/>
            <w:tcMar>
              <w:top w:w="100" w:type="dxa"/>
              <w:start w:w="120" w:type="dxa"/>
              <w:bottom w:w="100" w:type="dxa"/>
              <w:end w:w="120" w:type="dxa"/>
            </w:tcMar>
          </w:tcPr>
          <w:p>
            <w:pPr>
              <w:spacing w:after="0" w:line="247" w:lineRule="auto"/>
            </w:pPr>
            <w:r>
              <w:rPr>
                <w:color w:val="163342"/>
                <w:sz w:val="17"/>
              </w:rPr>
              <w:t>Available calls, website clicks, direction requests, bookings or other supported interactions.</w:t>
            </w:r>
          </w:p>
        </w:tc>
      </w:tr>
      <w:tr>
        <w:tc>
          <w:tcPr>
            <w:tcW w:type="dxa" w:w="2500"/>
            <w:vAlign w:val="center"/>
            <w:tcMar>
              <w:top w:w="100" w:type="dxa"/>
              <w:start w:w="120" w:type="dxa"/>
              <w:bottom w:w="100" w:type="dxa"/>
              <w:end w:w="120" w:type="dxa"/>
            </w:tcMar>
          </w:tcPr>
          <w:p>
            <w:pPr>
              <w:spacing w:after="0" w:line="247" w:lineRule="auto"/>
            </w:pPr>
            <w:r>
              <w:rPr>
                <w:color w:val="163342"/>
                <w:sz w:val="17"/>
              </w:rPr>
              <w:t>Search visibility</w:t>
            </w:r>
          </w:p>
        </w:tc>
        <w:tc>
          <w:tcPr>
            <w:tcW w:type="dxa" w:w="6860"/>
            <w:vAlign w:val="center"/>
            <w:tcMar>
              <w:top w:w="100" w:type="dxa"/>
              <w:start w:w="120" w:type="dxa"/>
              <w:bottom w:w="100" w:type="dxa"/>
              <w:end w:w="120" w:type="dxa"/>
            </w:tcMar>
          </w:tcPr>
          <w:p>
            <w:pPr>
              <w:spacing w:after="0" w:line="247" w:lineRule="auto"/>
            </w:pPr>
            <w:r>
              <w:rPr>
                <w:color w:val="163342"/>
                <w:sz w:val="17"/>
              </w:rPr>
              <w:t>Available impressions/search-query evidence and local ranking context from approved sources.</w:t>
            </w:r>
          </w:p>
        </w:tc>
      </w:tr>
      <w:tr>
        <w:tc>
          <w:tcPr>
            <w:tcW w:type="dxa" w:w="2500"/>
            <w:vAlign w:val="center"/>
            <w:tcMar>
              <w:top w:w="100" w:type="dxa"/>
              <w:start w:w="120" w:type="dxa"/>
              <w:bottom w:w="100" w:type="dxa"/>
              <w:end w:w="120" w:type="dxa"/>
            </w:tcMar>
          </w:tcPr>
          <w:p>
            <w:pPr>
              <w:spacing w:after="0" w:line="247" w:lineRule="auto"/>
            </w:pPr>
            <w:r>
              <w:rPr>
                <w:color w:val="163342"/>
                <w:sz w:val="17"/>
              </w:rPr>
              <w:t>Reviews</w:t>
            </w:r>
          </w:p>
        </w:tc>
        <w:tc>
          <w:tcPr>
            <w:tcW w:type="dxa" w:w="6860"/>
            <w:vAlign w:val="center"/>
            <w:tcMar>
              <w:top w:w="100" w:type="dxa"/>
              <w:start w:w="120" w:type="dxa"/>
              <w:bottom w:w="100" w:type="dxa"/>
              <w:end w:w="120" w:type="dxa"/>
            </w:tcMar>
          </w:tcPr>
          <w:p>
            <w:pPr>
              <w:spacing w:after="0" w:line="247" w:lineRule="auto"/>
            </w:pPr>
            <w:r>
              <w:rPr>
                <w:color w:val="163342"/>
                <w:sz w:val="17"/>
              </w:rPr>
              <w:t>Review volume/rating trend, unanswered reviews and important themes where available.</w:t>
            </w:r>
          </w:p>
        </w:tc>
      </w:tr>
      <w:tr>
        <w:tc>
          <w:tcPr>
            <w:tcW w:type="dxa" w:w="2500"/>
            <w:vAlign w:val="center"/>
            <w:tcMar>
              <w:top w:w="100" w:type="dxa"/>
              <w:start w:w="120" w:type="dxa"/>
              <w:bottom w:w="100" w:type="dxa"/>
              <w:end w:w="120" w:type="dxa"/>
            </w:tcMar>
          </w:tcPr>
          <w:p>
            <w:pPr>
              <w:spacing w:after="0" w:line="247" w:lineRule="auto"/>
            </w:pPr>
            <w:r>
              <w:rPr>
                <w:color w:val="163342"/>
                <w:sz w:val="17"/>
              </w:rPr>
              <w:t>Work completed</w:t>
            </w:r>
          </w:p>
        </w:tc>
        <w:tc>
          <w:tcPr>
            <w:tcW w:type="dxa" w:w="6860"/>
            <w:vAlign w:val="center"/>
            <w:tcMar>
              <w:top w:w="100" w:type="dxa"/>
              <w:start w:w="120" w:type="dxa"/>
              <w:bottom w:w="100" w:type="dxa"/>
              <w:end w:w="120" w:type="dxa"/>
            </w:tcMar>
          </w:tcPr>
          <w:p>
            <w:pPr>
              <w:spacing w:after="0" w:line="247" w:lineRule="auto"/>
            </w:pPr>
            <w:r>
              <w:rPr>
                <w:color w:val="163342"/>
                <w:sz w:val="17"/>
              </w:rPr>
              <w:t>Verified profile changes, replies, updates and manual work marked complete with evidence.</w:t>
            </w:r>
          </w:p>
        </w:tc>
      </w:tr>
      <w:tr>
        <w:tc>
          <w:tcPr>
            <w:tcW w:type="dxa" w:w="2500"/>
            <w:vAlign w:val="center"/>
            <w:tcMar>
              <w:top w:w="100" w:type="dxa"/>
              <w:start w:w="120" w:type="dxa"/>
              <w:bottom w:w="100" w:type="dxa"/>
              <w:end w:w="120" w:type="dxa"/>
            </w:tcMar>
          </w:tcPr>
          <w:p>
            <w:pPr>
              <w:spacing w:after="0" w:line="247" w:lineRule="auto"/>
            </w:pPr>
            <w:r>
              <w:rPr>
                <w:color w:val="163342"/>
                <w:sz w:val="17"/>
              </w:rPr>
              <w:t>Next Best Action</w:t>
            </w:r>
          </w:p>
        </w:tc>
        <w:tc>
          <w:tcPr>
            <w:tcW w:type="dxa" w:w="6860"/>
            <w:vAlign w:val="center"/>
            <w:tcMar>
              <w:top w:w="100" w:type="dxa"/>
              <w:start w:w="120" w:type="dxa"/>
              <w:bottom w:w="100" w:type="dxa"/>
              <w:end w:w="120" w:type="dxa"/>
            </w:tcMar>
          </w:tcPr>
          <w:p>
            <w:pPr>
              <w:spacing w:after="0" w:line="247" w:lineRule="auto"/>
            </w:pPr>
            <w:r>
              <w:rPr>
                <w:color w:val="163342"/>
                <w:sz w:val="17"/>
              </w:rPr>
              <w:t>One prioritized action with reason, expected outcome, approval need and action button.</w:t>
            </w:r>
          </w:p>
        </w:tc>
      </w:tr>
    </w:tbl>
    <w:p>
      <w:pPr>
        <w:spacing w:after="20"/>
      </w:pPr>
    </w:p>
    <w:p>
      <w:pPr>
        <w:pStyle w:val="Heading2"/>
        <w:keepNext/>
      </w:pPr>
      <w:r>
        <w:t>Measurement rules</w:t>
      </w:r>
    </w:p>
    <w:p>
      <w:pPr>
        <w:pStyle w:val="ListBullet"/>
      </w:pPr>
      <w:r>
        <w:t>Preserve Google’s metric definitions and time granularity; do not invent totals by combining incompatible values.</w:t>
      </w:r>
    </w:p>
    <w:p>
      <w:pPr>
        <w:pStyle w:val="ListBullet"/>
      </w:pPr>
      <w:r>
        <w:t>Show the observed period, mapped location, source freshness and any API/permission limitation.</w:t>
      </w:r>
    </w:p>
    <w:p>
      <w:pPr>
        <w:pStyle w:val="ListBullet"/>
      </w:pPr>
      <w:r>
        <w:t>Missing, delayed or permission-restricted metrics are not zero.</w:t>
      </w:r>
    </w:p>
    <w:p>
      <w:pPr>
        <w:pStyle w:val="ListBullet"/>
      </w:pPr>
      <w:r>
        <w:t>A completed profile change may be associated with later movement, but do not claim it caused the result without valid experimental evidence.</w:t>
      </w:r>
    </w:p>
    <w:p>
      <w:pPr>
        <w:pStyle w:val="ListBullet"/>
      </w:pPr>
      <w:r>
        <w:t>Agency reports reuse the same client-scoped evidence; they do not recalculate a separate truth.</w:t>
      </w:r>
    </w:p>
    <w:p>
      <w:pPr>
        <w:pStyle w:val="ListBullet"/>
      </w:pPr>
      <w:r>
        <w:t>Growth Intelligence may update the Growth Blueprint and propose one Next Best Action through the Workflow Controller.</w:t>
      </w:r>
    </w:p>
    <w:p>
      <w:r>
        <w:br w:type="page"/>
      </w:r>
    </w:p>
    <w:p>
      <w:pPr>
        <w:pStyle w:val="Heading1"/>
        <w:keepNext/>
      </w:pPr>
      <w:r>
        <w:t>9. Minimum Data and Service Contracts</w:t>
      </w:r>
    </w:p>
    <w:p>
      <w:r>
        <w:t>Reuse the existing Integration, Execution Plan, Approval, Publishing, Evidence, Growth and Reporting services. Add only the GBP-specific records needed for provider-neutral behavior.</w:t>
      </w:r>
    </w:p>
    <w:tbl>
      <w:tblPr>
        <w:tblW w:type="dxa" w:w="9360"/>
        <w:jc w:val="left"/>
        <w:tblLook w:firstColumn="1" w:firstRow="1" w:lastColumn="0" w:lastRow="0" w:noHBand="0" w:noVBand="1" w:val="04A0"/>
        <w:tblLayout w:type="fixed"/>
        <w:tblInd w:w="120" w:type="dxa"/>
        <w:tblBorders>
          <w:top w:val="single" w:sz="6" w:space="0" w:color="CCD8E3"/>
          <w:left w:val="single" w:sz="6" w:space="0" w:color="CCD8E3"/>
          <w:bottom w:val="single" w:sz="6" w:space="0" w:color="CCD8E3"/>
          <w:right w:val="single" w:sz="6" w:space="0" w:color="CCD8E3"/>
          <w:insideH w:val="single" w:sz="6" w:space="0" w:color="CCD8E3"/>
          <w:insideV w:val="single" w:sz="6" w:space="0" w:color="CCD8E3"/>
        </w:tblBorders>
      </w:tblPr>
      <w:tblGrid>
        <w:gridCol w:w="2700"/>
        <w:gridCol w:w="6660"/>
      </w:tblGrid>
      <w:tr>
        <w:trPr>
          <w:tblHeader w:val="true"/>
        </w:trPr>
        <w:tc>
          <w:tcPr>
            <w:tcW w:type="dxa" w:w="2700"/>
            <w:shd w:fill="EAF2F8"/>
            <w:vAlign w:val="center"/>
            <w:tcMar>
              <w:top w:w="100" w:type="dxa"/>
              <w:start w:w="120" w:type="dxa"/>
              <w:bottom w:w="100" w:type="dxa"/>
              <w:end w:w="120" w:type="dxa"/>
            </w:tcMar>
          </w:tcPr>
          <w:p>
            <w:r>
              <w:rPr>
                <w:b/>
                <w:color w:val="10243E"/>
                <w:sz w:val="16"/>
              </w:rPr>
              <w:t>Object</w:t>
            </w:r>
          </w:p>
        </w:tc>
        <w:tc>
          <w:tcPr>
            <w:tcW w:type="dxa" w:w="6660"/>
            <w:shd w:fill="EAF2F8"/>
            <w:vAlign w:val="center"/>
            <w:tcMar>
              <w:top w:w="100" w:type="dxa"/>
              <w:start w:w="120" w:type="dxa"/>
              <w:bottom w:w="100" w:type="dxa"/>
              <w:end w:w="120" w:type="dxa"/>
            </w:tcMar>
          </w:tcPr>
          <w:p>
            <w:r>
              <w:rPr>
                <w:b/>
                <w:color w:val="10243E"/>
                <w:sz w:val="16"/>
              </w:rPr>
              <w:t>Minimum purpose</w:t>
            </w:r>
          </w:p>
        </w:tc>
      </w:tr>
      <w:tr>
        <w:tc>
          <w:tcPr>
            <w:tcW w:type="dxa" w:w="2700"/>
            <w:vAlign w:val="center"/>
            <w:tcMar>
              <w:top w:w="100" w:type="dxa"/>
              <w:start w:w="120" w:type="dxa"/>
              <w:bottom w:w="100" w:type="dxa"/>
              <w:end w:w="120" w:type="dxa"/>
            </w:tcMar>
          </w:tcPr>
          <w:p>
            <w:pPr>
              <w:spacing w:after="0" w:line="247" w:lineRule="auto"/>
            </w:pPr>
            <w:r>
              <w:rPr>
                <w:color w:val="163342"/>
                <w:sz w:val="16"/>
              </w:rPr>
              <w:t>GBPConnection</w:t>
            </w:r>
          </w:p>
        </w:tc>
        <w:tc>
          <w:tcPr>
            <w:tcW w:type="dxa" w:w="6660"/>
            <w:vAlign w:val="center"/>
            <w:tcMar>
              <w:top w:w="100" w:type="dxa"/>
              <w:start w:w="120" w:type="dxa"/>
              <w:bottom w:w="100" w:type="dxa"/>
              <w:end w:w="120" w:type="dxa"/>
            </w:tcMar>
          </w:tcPr>
          <w:p>
            <w:pPr>
              <w:spacing w:after="0" w:line="247" w:lineRule="auto"/>
            </w:pPr>
            <w:r>
              <w:rPr>
                <w:color w:val="163342"/>
                <w:sz w:val="16"/>
              </w:rPr>
              <w:t>Workspace/client scope, provider identity, authorization state, scopes, health and last sync.</w:t>
            </w:r>
          </w:p>
        </w:tc>
      </w:tr>
      <w:tr>
        <w:tc>
          <w:tcPr>
            <w:tcW w:type="dxa" w:w="2700"/>
            <w:vAlign w:val="center"/>
            <w:tcMar>
              <w:top w:w="100" w:type="dxa"/>
              <w:start w:w="120" w:type="dxa"/>
              <w:bottom w:w="100" w:type="dxa"/>
              <w:end w:w="120" w:type="dxa"/>
            </w:tcMar>
          </w:tcPr>
          <w:p>
            <w:pPr>
              <w:spacing w:after="0" w:line="247" w:lineRule="auto"/>
            </w:pPr>
            <w:r>
              <w:rPr>
                <w:color w:val="163342"/>
                <w:sz w:val="16"/>
              </w:rPr>
              <w:t>GBPLocationMapping</w:t>
            </w:r>
          </w:p>
        </w:tc>
        <w:tc>
          <w:tcPr>
            <w:tcW w:type="dxa" w:w="6660"/>
            <w:vAlign w:val="center"/>
            <w:tcMar>
              <w:top w:w="100" w:type="dxa"/>
              <w:start w:w="120" w:type="dxa"/>
              <w:bottom w:w="100" w:type="dxa"/>
              <w:end w:w="120" w:type="dxa"/>
            </w:tcMar>
          </w:tcPr>
          <w:p>
            <w:pPr>
              <w:spacing w:after="0" w:line="247" w:lineRule="auto"/>
            </w:pPr>
            <w:r>
              <w:rPr>
                <w:color w:val="163342"/>
                <w:sz w:val="16"/>
              </w:rPr>
              <w:t>Project/business location to authorized Google account/location mapping.</w:t>
            </w:r>
          </w:p>
        </w:tc>
      </w:tr>
      <w:tr>
        <w:tc>
          <w:tcPr>
            <w:tcW w:type="dxa" w:w="2700"/>
            <w:vAlign w:val="center"/>
            <w:tcMar>
              <w:top w:w="100" w:type="dxa"/>
              <w:start w:w="120" w:type="dxa"/>
              <w:bottom w:w="100" w:type="dxa"/>
              <w:end w:w="120" w:type="dxa"/>
            </w:tcMar>
          </w:tcPr>
          <w:p>
            <w:pPr>
              <w:spacing w:after="0" w:line="247" w:lineRule="auto"/>
            </w:pPr>
            <w:r>
              <w:rPr>
                <w:color w:val="163342"/>
                <w:sz w:val="16"/>
              </w:rPr>
              <w:t>GBPCapabilitySnapshot</w:t>
            </w:r>
          </w:p>
        </w:tc>
        <w:tc>
          <w:tcPr>
            <w:tcW w:type="dxa" w:w="6660"/>
            <w:vAlign w:val="center"/>
            <w:tcMar>
              <w:top w:w="100" w:type="dxa"/>
              <w:start w:w="120" w:type="dxa"/>
              <w:bottom w:w="100" w:type="dxa"/>
              <w:end w:w="120" w:type="dxa"/>
            </w:tcMar>
          </w:tcPr>
          <w:p>
            <w:pPr>
              <w:spacing w:after="0" w:line="247" w:lineRule="auto"/>
            </w:pPr>
            <w:r>
              <w:rPr>
                <w:color w:val="163342"/>
                <w:sz w:val="16"/>
              </w:rPr>
              <w:t>Timestamped read/write capabilities and provider/API constraints.</w:t>
            </w:r>
          </w:p>
        </w:tc>
      </w:tr>
      <w:tr>
        <w:tc>
          <w:tcPr>
            <w:tcW w:type="dxa" w:w="2700"/>
            <w:vAlign w:val="center"/>
            <w:tcMar>
              <w:top w:w="100" w:type="dxa"/>
              <w:start w:w="120" w:type="dxa"/>
              <w:bottom w:w="100" w:type="dxa"/>
              <w:end w:w="120" w:type="dxa"/>
            </w:tcMar>
          </w:tcPr>
          <w:p>
            <w:pPr>
              <w:spacing w:after="0" w:line="247" w:lineRule="auto"/>
            </w:pPr>
            <w:r>
              <w:rPr>
                <w:color w:val="163342"/>
                <w:sz w:val="16"/>
              </w:rPr>
              <w:t>GBPProfileSnapshot</w:t>
            </w:r>
          </w:p>
        </w:tc>
        <w:tc>
          <w:tcPr>
            <w:tcW w:type="dxa" w:w="6660"/>
            <w:vAlign w:val="center"/>
            <w:tcMar>
              <w:top w:w="100" w:type="dxa"/>
              <w:start w:w="120" w:type="dxa"/>
              <w:bottom w:w="100" w:type="dxa"/>
              <w:end w:w="120" w:type="dxa"/>
            </w:tcMar>
          </w:tcPr>
          <w:p>
            <w:pPr>
              <w:spacing w:after="0" w:line="247" w:lineRule="auto"/>
            </w:pPr>
            <w:r>
              <w:rPr>
                <w:color w:val="163342"/>
                <w:sz w:val="16"/>
              </w:rPr>
              <w:t>Timestamped normalized profile evidence and protected provider references.</w:t>
            </w:r>
          </w:p>
        </w:tc>
      </w:tr>
      <w:tr>
        <w:tc>
          <w:tcPr>
            <w:tcW w:type="dxa" w:w="2700"/>
            <w:vAlign w:val="center"/>
            <w:tcMar>
              <w:top w:w="100" w:type="dxa"/>
              <w:start w:w="120" w:type="dxa"/>
              <w:bottom w:w="100" w:type="dxa"/>
              <w:end w:w="120" w:type="dxa"/>
            </w:tcMar>
          </w:tcPr>
          <w:p>
            <w:pPr>
              <w:spacing w:after="0" w:line="247" w:lineRule="auto"/>
            </w:pPr>
            <w:r>
              <w:rPr>
                <w:color w:val="163342"/>
                <w:sz w:val="16"/>
              </w:rPr>
              <w:t>GBPAuditFinding</w:t>
            </w:r>
          </w:p>
        </w:tc>
        <w:tc>
          <w:tcPr>
            <w:tcW w:type="dxa" w:w="6660"/>
            <w:vAlign w:val="center"/>
            <w:tcMar>
              <w:top w:w="100" w:type="dxa"/>
              <w:start w:w="120" w:type="dxa"/>
              <w:bottom w:w="100" w:type="dxa"/>
              <w:end w:w="120" w:type="dxa"/>
            </w:tcMar>
          </w:tcPr>
          <w:p>
            <w:pPr>
              <w:spacing w:after="0" w:line="247" w:lineRule="auto"/>
            </w:pPr>
            <w:r>
              <w:rPr>
                <w:color w:val="163342"/>
                <w:sz w:val="16"/>
              </w:rPr>
              <w:t>What was found, evidence, severity, confidence, status and suggested recovery/action.</w:t>
            </w:r>
          </w:p>
        </w:tc>
      </w:tr>
      <w:tr>
        <w:tc>
          <w:tcPr>
            <w:tcW w:type="dxa" w:w="2700"/>
            <w:vAlign w:val="center"/>
            <w:tcMar>
              <w:top w:w="100" w:type="dxa"/>
              <w:start w:w="120" w:type="dxa"/>
              <w:bottom w:w="100" w:type="dxa"/>
              <w:end w:w="120" w:type="dxa"/>
            </w:tcMar>
          </w:tcPr>
          <w:p>
            <w:pPr>
              <w:spacing w:after="0" w:line="247" w:lineRule="auto"/>
            </w:pPr>
            <w:r>
              <w:rPr>
                <w:color w:val="163342"/>
                <w:sz w:val="16"/>
              </w:rPr>
              <w:t>GBPRecommendation</w:t>
            </w:r>
          </w:p>
        </w:tc>
        <w:tc>
          <w:tcPr>
            <w:tcW w:type="dxa" w:w="6660"/>
            <w:vAlign w:val="center"/>
            <w:tcMar>
              <w:top w:w="100" w:type="dxa"/>
              <w:start w:w="120" w:type="dxa"/>
              <w:bottom w:w="100" w:type="dxa"/>
              <w:end w:w="120" w:type="dxa"/>
            </w:tcMar>
          </w:tcPr>
          <w:p>
            <w:pPr>
              <w:spacing w:after="0" w:line="247" w:lineRule="auto"/>
            </w:pPr>
            <w:r>
              <w:rPr>
                <w:color w:val="163342"/>
                <w:sz w:val="16"/>
              </w:rPr>
              <w:t>Proposed change, reason, expected outcome, action mode and Execution Plan task reference.</w:t>
            </w:r>
          </w:p>
        </w:tc>
      </w:tr>
      <w:tr>
        <w:tc>
          <w:tcPr>
            <w:tcW w:type="dxa" w:w="2700"/>
            <w:vAlign w:val="center"/>
            <w:tcMar>
              <w:top w:w="100" w:type="dxa"/>
              <w:start w:w="120" w:type="dxa"/>
              <w:bottom w:w="100" w:type="dxa"/>
              <w:end w:w="120" w:type="dxa"/>
            </w:tcMar>
          </w:tcPr>
          <w:p>
            <w:pPr>
              <w:spacing w:after="0" w:line="247" w:lineRule="auto"/>
            </w:pPr>
            <w:r>
              <w:rPr>
                <w:color w:val="163342"/>
                <w:sz w:val="16"/>
              </w:rPr>
              <w:t>GBPAssetVersion</w:t>
            </w:r>
          </w:p>
        </w:tc>
        <w:tc>
          <w:tcPr>
            <w:tcW w:type="dxa" w:w="6660"/>
            <w:vAlign w:val="center"/>
            <w:tcMar>
              <w:top w:w="100" w:type="dxa"/>
              <w:start w:w="120" w:type="dxa"/>
              <w:bottom w:w="100" w:type="dxa"/>
              <w:end w:w="120" w:type="dxa"/>
            </w:tcMar>
          </w:tcPr>
          <w:p>
            <w:pPr>
              <w:spacing w:after="0" w:line="247" w:lineRule="auto"/>
            </w:pPr>
            <w:r>
              <w:rPr>
                <w:color w:val="163342"/>
                <w:sz w:val="16"/>
              </w:rPr>
              <w:t>Draft field change, review reply or update with source lineage and approval state.</w:t>
            </w:r>
          </w:p>
        </w:tc>
      </w:tr>
      <w:tr>
        <w:tc>
          <w:tcPr>
            <w:tcW w:type="dxa" w:w="2700"/>
            <w:vAlign w:val="center"/>
            <w:tcMar>
              <w:top w:w="100" w:type="dxa"/>
              <w:start w:w="120" w:type="dxa"/>
              <w:bottom w:w="100" w:type="dxa"/>
              <w:end w:w="120" w:type="dxa"/>
            </w:tcMar>
          </w:tcPr>
          <w:p>
            <w:pPr>
              <w:spacing w:after="0" w:line="247" w:lineRule="auto"/>
            </w:pPr>
            <w:r>
              <w:rPr>
                <w:color w:val="163342"/>
                <w:sz w:val="16"/>
              </w:rPr>
              <w:t>GBPRemoteAction</w:t>
            </w:r>
          </w:p>
        </w:tc>
        <w:tc>
          <w:tcPr>
            <w:tcW w:type="dxa" w:w="6660"/>
            <w:vAlign w:val="center"/>
            <w:tcMar>
              <w:top w:w="100" w:type="dxa"/>
              <w:start w:w="120" w:type="dxa"/>
              <w:bottom w:w="100" w:type="dxa"/>
              <w:end w:w="120" w:type="dxa"/>
            </w:tcMar>
          </w:tcPr>
          <w:p>
            <w:pPr>
              <w:spacing w:after="0" w:line="247" w:lineRule="auto"/>
            </w:pPr>
            <w:r>
              <w:rPr>
                <w:color w:val="163342"/>
                <w:sz w:val="16"/>
              </w:rPr>
              <w:t>Idempotency key, exact approved version, provider response, verification and failure state.</w:t>
            </w:r>
          </w:p>
        </w:tc>
      </w:tr>
      <w:tr>
        <w:tc>
          <w:tcPr>
            <w:tcW w:type="dxa" w:w="2700"/>
            <w:vAlign w:val="center"/>
            <w:tcMar>
              <w:top w:w="100" w:type="dxa"/>
              <w:start w:w="120" w:type="dxa"/>
              <w:bottom w:w="100" w:type="dxa"/>
              <w:end w:w="120" w:type="dxa"/>
            </w:tcMar>
          </w:tcPr>
          <w:p>
            <w:pPr>
              <w:spacing w:after="0" w:line="247" w:lineRule="auto"/>
            </w:pPr>
            <w:r>
              <w:rPr>
                <w:color w:val="163342"/>
                <w:sz w:val="16"/>
              </w:rPr>
              <w:t>GBPMetricSnapshot</w:t>
            </w:r>
          </w:p>
        </w:tc>
        <w:tc>
          <w:tcPr>
            <w:tcW w:type="dxa" w:w="6660"/>
            <w:vAlign w:val="center"/>
            <w:tcMar>
              <w:top w:w="100" w:type="dxa"/>
              <w:start w:w="120" w:type="dxa"/>
              <w:bottom w:w="100" w:type="dxa"/>
              <w:end w:w="120" w:type="dxa"/>
            </w:tcMar>
          </w:tcPr>
          <w:p>
            <w:pPr>
              <w:spacing w:after="0" w:line="247" w:lineRule="auto"/>
            </w:pPr>
            <w:r>
              <w:rPr>
                <w:color w:val="163342"/>
                <w:sz w:val="16"/>
              </w:rPr>
              <w:t>Mapped location, metric definition, period, value, source freshness and limitation.</w:t>
            </w:r>
          </w:p>
        </w:tc>
      </w:tr>
    </w:tbl>
    <w:p>
      <w:pPr>
        <w:spacing w:after="20"/>
      </w:pPr>
    </w:p>
    <w:p>
      <w:pPr>
        <w:pStyle w:val="Heading2"/>
        <w:keepNext/>
      </w:pPr>
      <w:r>
        <w:t>Required service operations</w:t>
      </w:r>
    </w:p>
    <w:p>
      <w:pPr>
        <w:pStyle w:val="ListBullet"/>
      </w:pPr>
      <w:r>
        <w:t>Start OAuth connection and process the callback server-side.</w:t>
      </w:r>
    </w:p>
    <w:p>
      <w:pPr>
        <w:pStyle w:val="ListBullet"/>
      </w:pPr>
      <w:r>
        <w:t>List authorized accounts/locations and save a selected mapping.</w:t>
      </w:r>
    </w:p>
    <w:p>
      <w:pPr>
        <w:pStyle w:val="ListBullet"/>
      </w:pPr>
      <w:r>
        <w:t>Refresh the capability snapshot and connection health.</w:t>
      </w:r>
    </w:p>
    <w:p>
      <w:pPr>
        <w:pStyle w:val="ListBullet"/>
      </w:pPr>
      <w:r>
        <w:t>Request an on-demand sync and read the latest normalized snapshot.</w:t>
      </w:r>
    </w:p>
    <w:p>
      <w:pPr>
        <w:pStyle w:val="ListBullet"/>
      </w:pPr>
      <w:r>
        <w:t>Generate or refresh the Local SEO audit and recommendations.</w:t>
      </w:r>
    </w:p>
    <w:p>
      <w:pPr>
        <w:pStyle w:val="ListBullet"/>
      </w:pPr>
      <w:r>
        <w:t>Approve an immutable GBP asset/recommendation version.</w:t>
      </w:r>
    </w:p>
    <w:p>
      <w:pPr>
        <w:pStyle w:val="ListBullet"/>
      </w:pPr>
      <w:r>
        <w:t>Execute a supported remote action through the Publishing Gateway.</w:t>
      </w:r>
    </w:p>
    <w:p>
      <w:pPr>
        <w:pStyle w:val="ListBullet"/>
      </w:pPr>
      <w:r>
        <w:t>Verify/reconcile the remote action and retrieve available metrics.</w:t>
      </w:r>
    </w:p>
    <w:p>
      <w:pPr>
        <w:pStyle w:val="ListBullet"/>
      </w:pPr>
      <w:r>
        <w:t>Disconnect and apply current Google and SEnuke AI retention/revocation rules.</w:t>
      </w:r>
    </w:p>
    <w:p>
      <w:pPr>
        <w:pStyle w:val="Heading1"/>
        <w:keepNext/>
      </w:pPr>
      <w:r>
        <w:t>10. Failure and Edge Cases</w:t>
      </w:r>
    </w:p>
    <w:tbl>
      <w:tblPr>
        <w:tblW w:type="dxa" w:w="9360"/>
        <w:jc w:val="left"/>
        <w:tblLook w:firstColumn="1" w:firstRow="1" w:lastColumn="0" w:lastRow="0" w:noHBand="0" w:noVBand="1" w:val="04A0"/>
        <w:tblLayout w:type="fixed"/>
        <w:tblInd w:w="120" w:type="dxa"/>
        <w:tblBorders>
          <w:top w:val="single" w:sz="6" w:space="0" w:color="CCD8E3"/>
          <w:left w:val="single" w:sz="6" w:space="0" w:color="CCD8E3"/>
          <w:bottom w:val="single" w:sz="6" w:space="0" w:color="CCD8E3"/>
          <w:right w:val="single" w:sz="6" w:space="0" w:color="CCD8E3"/>
          <w:insideH w:val="single" w:sz="6" w:space="0" w:color="CCD8E3"/>
          <w:insideV w:val="single" w:sz="6" w:space="0" w:color="CCD8E3"/>
        </w:tblBorders>
      </w:tblPr>
      <w:tblGrid>
        <w:gridCol w:w="3100"/>
        <w:gridCol w:w="6260"/>
      </w:tblGrid>
      <w:tr>
        <w:trPr>
          <w:tblHeader w:val="true"/>
        </w:trPr>
        <w:tc>
          <w:tcPr>
            <w:tcW w:type="dxa" w:w="3100"/>
            <w:shd w:fill="EAF2F8"/>
            <w:vAlign w:val="center"/>
            <w:tcMar>
              <w:top w:w="100" w:type="dxa"/>
              <w:start w:w="120" w:type="dxa"/>
              <w:bottom w:w="100" w:type="dxa"/>
              <w:end w:w="120" w:type="dxa"/>
            </w:tcMar>
          </w:tcPr>
          <w:p>
            <w:r>
              <w:rPr>
                <w:b/>
                <w:color w:val="10243E"/>
                <w:sz w:val="16"/>
              </w:rPr>
              <w:t>Situation</w:t>
            </w:r>
          </w:p>
        </w:tc>
        <w:tc>
          <w:tcPr>
            <w:tcW w:type="dxa" w:w="6260"/>
            <w:shd w:fill="EAF2F8"/>
            <w:vAlign w:val="center"/>
            <w:tcMar>
              <w:top w:w="100" w:type="dxa"/>
              <w:start w:w="120" w:type="dxa"/>
              <w:bottom w:w="100" w:type="dxa"/>
              <w:end w:w="120" w:type="dxa"/>
            </w:tcMar>
          </w:tcPr>
          <w:p>
            <w:r>
              <w:rPr>
                <w:b/>
                <w:color w:val="10243E"/>
                <w:sz w:val="16"/>
              </w:rPr>
              <w:t>Required behavior</w:t>
            </w:r>
          </w:p>
        </w:tc>
      </w:tr>
      <w:tr>
        <w:tc>
          <w:tcPr>
            <w:tcW w:type="dxa" w:w="3100"/>
            <w:vAlign w:val="center"/>
            <w:tcMar>
              <w:top w:w="100" w:type="dxa"/>
              <w:start w:w="120" w:type="dxa"/>
              <w:bottom w:w="100" w:type="dxa"/>
              <w:end w:w="120" w:type="dxa"/>
            </w:tcMar>
          </w:tcPr>
          <w:p>
            <w:pPr>
              <w:spacing w:after="0" w:line="247" w:lineRule="auto"/>
            </w:pPr>
            <w:r>
              <w:rPr>
                <w:color w:val="163342"/>
                <w:sz w:val="16"/>
              </w:rPr>
              <w:t>User authorizes the wrong Google account</w:t>
            </w:r>
          </w:p>
        </w:tc>
        <w:tc>
          <w:tcPr>
            <w:tcW w:type="dxa" w:w="6260"/>
            <w:vAlign w:val="center"/>
            <w:tcMar>
              <w:top w:w="100" w:type="dxa"/>
              <w:start w:w="120" w:type="dxa"/>
              <w:bottom w:w="100" w:type="dxa"/>
              <w:end w:w="120" w:type="dxa"/>
            </w:tcMar>
          </w:tcPr>
          <w:p>
            <w:pPr>
              <w:spacing w:after="0" w:line="247" w:lineRule="auto"/>
            </w:pPr>
            <w:r>
              <w:rPr>
                <w:color w:val="163342"/>
                <w:sz w:val="16"/>
              </w:rPr>
              <w:t>Allow account change/reconnect without deleting prepared work.</w:t>
            </w:r>
          </w:p>
        </w:tc>
      </w:tr>
      <w:tr>
        <w:tc>
          <w:tcPr>
            <w:tcW w:type="dxa" w:w="3100"/>
            <w:vAlign w:val="center"/>
            <w:tcMar>
              <w:top w:w="100" w:type="dxa"/>
              <w:start w:w="120" w:type="dxa"/>
              <w:bottom w:w="100" w:type="dxa"/>
              <w:end w:w="120" w:type="dxa"/>
            </w:tcMar>
          </w:tcPr>
          <w:p>
            <w:pPr>
              <w:spacing w:after="0" w:line="247" w:lineRule="auto"/>
            </w:pPr>
            <w:r>
              <w:rPr>
                <w:color w:val="163342"/>
                <w:sz w:val="16"/>
              </w:rPr>
              <w:t>Several locations have similar names</w:t>
            </w:r>
          </w:p>
        </w:tc>
        <w:tc>
          <w:tcPr>
            <w:tcW w:type="dxa" w:w="6260"/>
            <w:vAlign w:val="center"/>
            <w:tcMar>
              <w:top w:w="100" w:type="dxa"/>
              <w:start w:w="120" w:type="dxa"/>
              <w:bottom w:w="100" w:type="dxa"/>
              <w:end w:w="120" w:type="dxa"/>
            </w:tcMar>
          </w:tcPr>
          <w:p>
            <w:pPr>
              <w:spacing w:after="0" w:line="247" w:lineRule="auto"/>
            </w:pPr>
            <w:r>
              <w:rPr>
                <w:color w:val="163342"/>
                <w:sz w:val="16"/>
              </w:rPr>
              <w:t>Require explicit selection and show address/service-area and provider location ID.</w:t>
            </w:r>
          </w:p>
        </w:tc>
      </w:tr>
      <w:tr>
        <w:tc>
          <w:tcPr>
            <w:tcW w:type="dxa" w:w="3100"/>
            <w:vAlign w:val="center"/>
            <w:tcMar>
              <w:top w:w="100" w:type="dxa"/>
              <w:start w:w="120" w:type="dxa"/>
              <w:bottom w:w="100" w:type="dxa"/>
              <w:end w:w="120" w:type="dxa"/>
            </w:tcMar>
          </w:tcPr>
          <w:p>
            <w:pPr>
              <w:spacing w:after="0" w:line="247" w:lineRule="auto"/>
            </w:pPr>
            <w:r>
              <w:rPr>
                <w:color w:val="163342"/>
                <w:sz w:val="16"/>
              </w:rPr>
              <w:t>Location is unverified or inaccessible</w:t>
            </w:r>
          </w:p>
        </w:tc>
        <w:tc>
          <w:tcPr>
            <w:tcW w:type="dxa" w:w="6260"/>
            <w:vAlign w:val="center"/>
            <w:tcMar>
              <w:top w:w="100" w:type="dxa"/>
              <w:start w:w="120" w:type="dxa"/>
              <w:bottom w:w="100" w:type="dxa"/>
              <w:end w:w="120" w:type="dxa"/>
            </w:tcMar>
          </w:tcPr>
          <w:p>
            <w:pPr>
              <w:spacing w:after="0" w:line="247" w:lineRule="auto"/>
            </w:pPr>
            <w:r>
              <w:rPr>
                <w:color w:val="163342"/>
                <w:sz w:val="16"/>
              </w:rPr>
              <w:t>Keep available read/creation workflow; block unsupported action and explain recovery.</w:t>
            </w:r>
          </w:p>
        </w:tc>
      </w:tr>
      <w:tr>
        <w:tc>
          <w:tcPr>
            <w:tcW w:type="dxa" w:w="3100"/>
            <w:vAlign w:val="center"/>
            <w:tcMar>
              <w:top w:w="100" w:type="dxa"/>
              <w:start w:w="120" w:type="dxa"/>
              <w:bottom w:w="100" w:type="dxa"/>
              <w:end w:w="120" w:type="dxa"/>
            </w:tcMar>
          </w:tcPr>
          <w:p>
            <w:pPr>
              <w:spacing w:after="0" w:line="247" w:lineRule="auto"/>
            </w:pPr>
            <w:r>
              <w:rPr>
                <w:color w:val="163342"/>
                <w:sz w:val="16"/>
              </w:rPr>
              <w:t>Token expires or permission is revoked</w:t>
            </w:r>
          </w:p>
        </w:tc>
        <w:tc>
          <w:tcPr>
            <w:tcW w:type="dxa" w:w="6260"/>
            <w:vAlign w:val="center"/>
            <w:tcMar>
              <w:top w:w="100" w:type="dxa"/>
              <w:start w:w="120" w:type="dxa"/>
              <w:bottom w:w="100" w:type="dxa"/>
              <w:end w:w="120" w:type="dxa"/>
            </w:tcMar>
          </w:tcPr>
          <w:p>
            <w:pPr>
              <w:spacing w:after="0" w:line="247" w:lineRule="auto"/>
            </w:pPr>
            <w:r>
              <w:rPr>
                <w:color w:val="163342"/>
                <w:sz w:val="16"/>
              </w:rPr>
              <w:t>Stop sync/actions, show Needs Reauthorization and preserve audit history.</w:t>
            </w:r>
          </w:p>
        </w:tc>
      </w:tr>
      <w:tr>
        <w:tc>
          <w:tcPr>
            <w:tcW w:type="dxa" w:w="3100"/>
            <w:vAlign w:val="center"/>
            <w:tcMar>
              <w:top w:w="100" w:type="dxa"/>
              <w:start w:w="120" w:type="dxa"/>
              <w:bottom w:w="100" w:type="dxa"/>
              <w:end w:w="120" w:type="dxa"/>
            </w:tcMar>
          </w:tcPr>
          <w:p>
            <w:pPr>
              <w:spacing w:after="0" w:line="247" w:lineRule="auto"/>
            </w:pPr>
            <w:r>
              <w:rPr>
                <w:color w:val="163342"/>
                <w:sz w:val="16"/>
              </w:rPr>
              <w:t>Write capability disappears</w:t>
            </w:r>
          </w:p>
        </w:tc>
        <w:tc>
          <w:tcPr>
            <w:tcW w:type="dxa" w:w="6260"/>
            <w:vAlign w:val="center"/>
            <w:tcMar>
              <w:top w:w="100" w:type="dxa"/>
              <w:start w:w="120" w:type="dxa"/>
              <w:bottom w:w="100" w:type="dxa"/>
              <w:end w:w="120" w:type="dxa"/>
            </w:tcMar>
          </w:tcPr>
          <w:p>
            <w:pPr>
              <w:spacing w:after="0" w:line="247" w:lineRule="auto"/>
            </w:pPr>
            <w:r>
              <w:rPr>
                <w:color w:val="163342"/>
                <w:sz w:val="16"/>
              </w:rPr>
              <w:t>Move affected pending work to Handoff Required; never retry as though capability exists.</w:t>
            </w:r>
          </w:p>
        </w:tc>
      </w:tr>
      <w:tr>
        <w:tc>
          <w:tcPr>
            <w:tcW w:type="dxa" w:w="3100"/>
            <w:vAlign w:val="center"/>
            <w:tcMar>
              <w:top w:w="100" w:type="dxa"/>
              <w:start w:w="120" w:type="dxa"/>
              <w:bottom w:w="100" w:type="dxa"/>
              <w:end w:w="120" w:type="dxa"/>
            </w:tcMar>
          </w:tcPr>
          <w:p>
            <w:pPr>
              <w:spacing w:after="0" w:line="247" w:lineRule="auto"/>
            </w:pPr>
            <w:r>
              <w:rPr>
                <w:color w:val="163342"/>
                <w:sz w:val="16"/>
              </w:rPr>
              <w:t>Provider accepts action but verification is unclear</w:t>
            </w:r>
          </w:p>
        </w:tc>
        <w:tc>
          <w:tcPr>
            <w:tcW w:type="dxa" w:w="6260"/>
            <w:vAlign w:val="center"/>
            <w:tcMar>
              <w:top w:w="100" w:type="dxa"/>
              <w:start w:w="120" w:type="dxa"/>
              <w:bottom w:w="100" w:type="dxa"/>
              <w:end w:w="120" w:type="dxa"/>
            </w:tcMar>
          </w:tcPr>
          <w:p>
            <w:pPr>
              <w:spacing w:after="0" w:line="247" w:lineRule="auto"/>
            </w:pPr>
            <w:r>
              <w:rPr>
                <w:color w:val="163342"/>
                <w:sz w:val="16"/>
              </w:rPr>
              <w:t>Use Verification Pending and reconcile before retrying.</w:t>
            </w:r>
          </w:p>
        </w:tc>
      </w:tr>
      <w:tr>
        <w:tc>
          <w:tcPr>
            <w:tcW w:type="dxa" w:w="3100"/>
            <w:vAlign w:val="center"/>
            <w:tcMar>
              <w:top w:w="100" w:type="dxa"/>
              <w:start w:w="120" w:type="dxa"/>
              <w:bottom w:w="100" w:type="dxa"/>
              <w:end w:w="120" w:type="dxa"/>
            </w:tcMar>
          </w:tcPr>
          <w:p>
            <w:pPr>
              <w:spacing w:after="0" w:line="247" w:lineRule="auto"/>
            </w:pPr>
            <w:r>
              <w:rPr>
                <w:color w:val="163342"/>
                <w:sz w:val="16"/>
              </w:rPr>
              <w:t>User edits the approved asset</w:t>
            </w:r>
          </w:p>
        </w:tc>
        <w:tc>
          <w:tcPr>
            <w:tcW w:type="dxa" w:w="6260"/>
            <w:vAlign w:val="center"/>
            <w:tcMar>
              <w:top w:w="100" w:type="dxa"/>
              <w:start w:w="120" w:type="dxa"/>
              <w:bottom w:w="100" w:type="dxa"/>
              <w:end w:w="120" w:type="dxa"/>
            </w:tcMar>
          </w:tcPr>
          <w:p>
            <w:pPr>
              <w:spacing w:after="0" w:line="247" w:lineRule="auto"/>
            </w:pPr>
            <w:r>
              <w:rPr>
                <w:color w:val="163342"/>
                <w:sz w:val="16"/>
              </w:rPr>
              <w:t>Create a new version and require approval again.</w:t>
            </w:r>
          </w:p>
        </w:tc>
      </w:tr>
      <w:tr>
        <w:tc>
          <w:tcPr>
            <w:tcW w:type="dxa" w:w="3100"/>
            <w:vAlign w:val="center"/>
            <w:tcMar>
              <w:top w:w="100" w:type="dxa"/>
              <w:start w:w="120" w:type="dxa"/>
              <w:bottom w:w="100" w:type="dxa"/>
              <w:end w:w="120" w:type="dxa"/>
            </w:tcMar>
          </w:tcPr>
          <w:p>
            <w:pPr>
              <w:spacing w:after="0" w:line="247" w:lineRule="auto"/>
            </w:pPr>
            <w:r>
              <w:rPr>
                <w:color w:val="163342"/>
                <w:sz w:val="16"/>
              </w:rPr>
              <w:t>Google changes a field externally</w:t>
            </w:r>
          </w:p>
        </w:tc>
        <w:tc>
          <w:tcPr>
            <w:tcW w:type="dxa" w:w="6260"/>
            <w:vAlign w:val="center"/>
            <w:tcMar>
              <w:top w:w="100" w:type="dxa"/>
              <w:start w:w="120" w:type="dxa"/>
              <w:bottom w:w="100" w:type="dxa"/>
              <w:end w:w="120" w:type="dxa"/>
            </w:tcMar>
          </w:tcPr>
          <w:p>
            <w:pPr>
              <w:spacing w:after="0" w:line="247" w:lineRule="auto"/>
            </w:pPr>
            <w:r>
              <w:rPr>
                <w:color w:val="163342"/>
                <w:sz w:val="16"/>
              </w:rPr>
              <w:t>Create a new snapshot/finding; do not automatically revert Google’s change.</w:t>
            </w:r>
          </w:p>
        </w:tc>
      </w:tr>
      <w:tr>
        <w:tc>
          <w:tcPr>
            <w:tcW w:type="dxa" w:w="3100"/>
            <w:vAlign w:val="center"/>
            <w:tcMar>
              <w:top w:w="100" w:type="dxa"/>
              <w:start w:w="120" w:type="dxa"/>
              <w:bottom w:w="100" w:type="dxa"/>
              <w:end w:w="120" w:type="dxa"/>
            </w:tcMar>
          </w:tcPr>
          <w:p>
            <w:pPr>
              <w:spacing w:after="0" w:line="247" w:lineRule="auto"/>
            </w:pPr>
            <w:r>
              <w:rPr>
                <w:color w:val="163342"/>
                <w:sz w:val="16"/>
              </w:rPr>
              <w:t>Metrics arrive late or change</w:t>
            </w:r>
          </w:p>
        </w:tc>
        <w:tc>
          <w:tcPr>
            <w:tcW w:type="dxa" w:w="6260"/>
            <w:vAlign w:val="center"/>
            <w:tcMar>
              <w:top w:w="100" w:type="dxa"/>
              <w:start w:w="120" w:type="dxa"/>
              <w:bottom w:w="100" w:type="dxa"/>
              <w:end w:w="120" w:type="dxa"/>
            </w:tcMar>
          </w:tcPr>
          <w:p>
            <w:pPr>
              <w:spacing w:after="0" w:line="247" w:lineRule="auto"/>
            </w:pPr>
            <w:r>
              <w:rPr>
                <w:color w:val="163342"/>
                <w:sz w:val="16"/>
              </w:rPr>
              <w:t>Show freshness/delay; preserve revisions rather than silently rewriting finalized evidence.</w:t>
            </w:r>
          </w:p>
        </w:tc>
      </w:tr>
      <w:tr>
        <w:tc>
          <w:tcPr>
            <w:tcW w:type="dxa" w:w="3100"/>
            <w:vAlign w:val="center"/>
            <w:tcMar>
              <w:top w:w="100" w:type="dxa"/>
              <w:start w:w="120" w:type="dxa"/>
              <w:bottom w:w="100" w:type="dxa"/>
              <w:end w:w="120" w:type="dxa"/>
            </w:tcMar>
          </w:tcPr>
          <w:p>
            <w:pPr>
              <w:spacing w:after="0" w:line="247" w:lineRule="auto"/>
            </w:pPr>
            <w:r>
              <w:rPr>
                <w:color w:val="163342"/>
                <w:sz w:val="16"/>
              </w:rPr>
              <w:t>Connection is disconnected</w:t>
            </w:r>
          </w:p>
        </w:tc>
        <w:tc>
          <w:tcPr>
            <w:tcW w:type="dxa" w:w="6260"/>
            <w:vAlign w:val="center"/>
            <w:tcMar>
              <w:top w:w="100" w:type="dxa"/>
              <w:start w:w="120" w:type="dxa"/>
              <w:bottom w:w="100" w:type="dxa"/>
              <w:end w:w="120" w:type="dxa"/>
            </w:tcMar>
          </w:tcPr>
          <w:p>
            <w:pPr>
              <w:spacing w:after="0" w:line="247" w:lineRule="auto"/>
            </w:pPr>
            <w:r>
              <w:rPr>
                <w:color w:val="163342"/>
                <w:sz w:val="16"/>
              </w:rPr>
              <w:t>Stop all new reads/writes and follow current revocation, deletion and retention requirements.</w:t>
            </w:r>
          </w:p>
        </w:tc>
      </w:tr>
    </w:tbl>
    <w:p>
      <w:pPr>
        <w:spacing w:after="20"/>
      </w:pPr>
    </w:p>
    <w:p>
      <w:pPr>
        <w:pStyle w:val="Heading1"/>
        <w:keepNext/>
      </w:pPr>
      <w:r>
        <w:t>11. Simple Developer Build List</w:t>
      </w:r>
    </w:p>
    <w:p>
      <w:pPr>
        <w:pStyle w:val="Heading2"/>
        <w:keepNext/>
      </w:pPr>
      <w:r>
        <w:t>Build now</w:t>
      </w:r>
    </w:p>
    <w:p>
      <w:pPr>
        <w:pStyle w:val="ListBullet"/>
      </w:pPr>
      <w:r>
        <w:t>GBP OAuth connection card in Integrations Hub.</w:t>
      </w:r>
    </w:p>
    <w:p>
      <w:pPr>
        <w:pStyle w:val="ListBullet"/>
      </w:pPr>
      <w:r>
        <w:t>Authorized account/location selector and project/client/location mapping.</w:t>
      </w:r>
    </w:p>
    <w:p>
      <w:pPr>
        <w:pStyle w:val="ListBullet"/>
      </w:pPr>
      <w:r>
        <w:t>Capability discovery, connection health, reconnect and disconnect.</w:t>
      </w:r>
    </w:p>
    <w:p>
      <w:pPr>
        <w:pStyle w:val="ListBullet"/>
      </w:pPr>
      <w:r>
        <w:t>Initial and scheduled profile/review/performance sync where available.</w:t>
      </w:r>
    </w:p>
    <w:p>
      <w:pPr>
        <w:pStyle w:val="ListBullet"/>
      </w:pPr>
      <w:r>
        <w:t>Normalized profile snapshot and Local SEO audit findings.</w:t>
      </w:r>
    </w:p>
    <w:p>
      <w:pPr>
        <w:pStyle w:val="ListBullet"/>
      </w:pPr>
      <w:r>
        <w:t>Prioritized recommendations linked to Execution Plan tasks.</w:t>
      </w:r>
    </w:p>
    <w:p>
      <w:pPr>
        <w:pStyle w:val="ListBullet"/>
      </w:pPr>
      <w:r>
        <w:t>Draft/update/review-reply asset workflow with versioning and approval.</w:t>
      </w:r>
    </w:p>
    <w:p>
      <w:pPr>
        <w:pStyle w:val="ListBullet"/>
      </w:pPr>
      <w:r>
        <w:t>Capability-gated direct action plus explicit export/handoff fallback.</w:t>
      </w:r>
    </w:p>
    <w:p>
      <w:pPr>
        <w:pStyle w:val="ListBullet"/>
      </w:pPr>
      <w:r>
        <w:t>Remote verification/reconciliation and activity history.</w:t>
      </w:r>
    </w:p>
    <w:p>
      <w:pPr>
        <w:pStyle w:val="ListBullet"/>
      </w:pPr>
      <w:r>
        <w:t>Simple Local SEO performance summary, Agency-safe reporting and Next Best Action feed.</w:t>
      </w:r>
    </w:p>
    <w:p>
      <w:pPr>
        <w:pStyle w:val="Heading2"/>
        <w:keepNext/>
      </w:pPr>
      <w:r>
        <w:t>Do not delay V1 for</w:t>
      </w:r>
    </w:p>
    <w:p>
      <w:pPr>
        <w:pStyle w:val="ListBullet"/>
      </w:pPr>
      <w:r>
        <w:t>Listing creation, claiming or verification.</w:t>
      </w:r>
    </w:p>
    <w:p>
      <w:pPr>
        <w:pStyle w:val="ListBullet"/>
      </w:pPr>
      <w:r>
        <w:t>Bulk enterprise location management.</w:t>
      </w:r>
    </w:p>
    <w:p>
      <w:pPr>
        <w:pStyle w:val="ListBullet"/>
      </w:pPr>
      <w:r>
        <w:t>Full directory/citation synchronization.</w:t>
      </w:r>
    </w:p>
    <w:p>
      <w:pPr>
        <w:pStyle w:val="ListBullet"/>
      </w:pPr>
      <w:r>
        <w:t>Every optional GBP API or content type.</w:t>
      </w:r>
    </w:p>
    <w:p>
      <w:pPr>
        <w:pStyle w:val="ListBullet"/>
      </w:pPr>
      <w:r>
        <w:t>Products, menus, Q&amp;A, bookings, orders, ads or a media library.</w:t>
      </w:r>
    </w:p>
    <w:p>
      <w:pPr>
        <w:pStyle w:val="ListBullet"/>
      </w:pPr>
      <w:r>
        <w:t>Direct action when Google access, permission or policy approval is not ready.</w:t>
      </w:r>
    </w:p>
    <w:p>
      <w:pPr>
        <w:pStyle w:val="Heading1"/>
        <w:keepNext/>
      </w:pPr>
      <w:r>
        <w:t>12. Acceptance Checklist</w:t>
      </w:r>
    </w:p>
    <w:p>
      <w:pPr>
        <w:pStyle w:val="ListBullet"/>
      </w:pPr>
      <w:r>
        <w:t>AC-01: GBP is a shared integration source, not a standalone product; Local SEO is the primary consumer.</w:t>
      </w:r>
    </w:p>
    <w:p>
      <w:pPr>
        <w:pStyle w:val="ListBullet"/>
      </w:pPr>
      <w:r>
        <w:t>AC-02: The user can connect Google, select the exact authorized location and save an isolated workspace/project/client mapping.</w:t>
      </w:r>
    </w:p>
    <w:p>
      <w:pPr>
        <w:pStyle w:val="ListBullet"/>
      </w:pPr>
      <w:r>
        <w:t>AC-03: The connection stores explicit read/write capabilities and never infers write access.</w:t>
      </w:r>
    </w:p>
    <w:p>
      <w:pPr>
        <w:pStyle w:val="ListBullet"/>
      </w:pPr>
      <w:r>
        <w:t>AC-04: The system can read and normalize the approved profile fields that are available.</w:t>
      </w:r>
    </w:p>
    <w:p>
      <w:pPr>
        <w:pStyle w:val="ListBullet"/>
      </w:pPr>
      <w:r>
        <w:t>AC-05: The audit identifies completeness, alignment, NAP/website, reviews and local opportunities.</w:t>
      </w:r>
    </w:p>
    <w:p>
      <w:pPr>
        <w:pStyle w:val="ListBullet"/>
      </w:pPr>
      <w:r>
        <w:t>AC-06: Unavailable, delayed and permission-restricted values are never shown as zero.</w:t>
      </w:r>
    </w:p>
    <w:p>
      <w:pPr>
        <w:pStyle w:val="ListBullet"/>
      </w:pPr>
      <w:r>
        <w:t>AC-07: Every recommendation explains the finding, reason and expected outcome and creates or updates an Execution Plan task.</w:t>
      </w:r>
    </w:p>
    <w:p>
      <w:pPr>
        <w:pStyle w:val="ListBullet"/>
      </w:pPr>
      <w:r>
        <w:t>AC-08: Profile changes, review replies and GBP updates are versioned; protected actions require current permission and approval.</w:t>
      </w:r>
    </w:p>
    <w:p>
      <w:pPr>
        <w:pStyle w:val="ListBullet"/>
      </w:pPr>
      <w:r>
        <w:t>AC-09: Direct actions are enabled only when the exact live capability is available and rechecked.</w:t>
      </w:r>
    </w:p>
    <w:p>
      <w:pPr>
        <w:pStyle w:val="ListBullet"/>
      </w:pPr>
      <w:r>
        <w:t>AC-10: Unsupported actions use explicit export/handoff and are never labeled Published.</w:t>
      </w:r>
    </w:p>
    <w:p>
      <w:pPr>
        <w:pStyle w:val="ListBullet"/>
      </w:pPr>
      <w:r>
        <w:t>AC-11: Provider acceptance is not treated as success without verification/reconciliation.</w:t>
      </w:r>
    </w:p>
    <w:p>
      <w:pPr>
        <w:pStyle w:val="ListBullet"/>
      </w:pPr>
      <w:r>
        <w:t>AC-12: Review replies and GBP updates use verified business context and remain linked to their approved source and Message Contract.</w:t>
      </w:r>
    </w:p>
    <w:p>
      <w:pPr>
        <w:pStyle w:val="ListBullet"/>
      </w:pPr>
      <w:r>
        <w:t>AC-13: No automatic editing, posting or review replying occurs without specific authorization.</w:t>
      </w:r>
    </w:p>
    <w:p>
      <w:pPr>
        <w:pStyle w:val="ListBullet"/>
      </w:pPr>
      <w:r>
        <w:t>AC-14: Connection health, last sync, permissions, limitations and reconnect/disconnect recovery are visible.</w:t>
      </w:r>
    </w:p>
    <w:p>
      <w:pPr>
        <w:pStyle w:val="ListBullet"/>
      </w:pPr>
      <w:r>
        <w:t>AC-15: Performance and Agency reports preserve provider definitions, freshness and location/client isolation.</w:t>
      </w:r>
    </w:p>
    <w:p>
      <w:pPr>
        <w:pStyle w:val="ListBullet"/>
      </w:pPr>
      <w:r>
        <w:t>AC-16: Growth Intelligence receives verified evidence and proposes actions through existing governance.</w:t>
      </w:r>
    </w:p>
    <w:p>
      <w:pPr>
        <w:pStyle w:val="ListBullet"/>
      </w:pPr>
      <w:r>
        <w:t>AC-17: Credentials and tokens never enter prompts, logs, exports or client-visible diagnostics.</w:t>
      </w:r>
    </w:p>
    <w:p>
      <w:pPr>
        <w:pStyle w:val="ListBullet"/>
      </w:pPr>
      <w:r>
        <w:t>AC-18: The implementation does not require a full listings-management platform for V1.</w:t>
      </w:r>
    </w:p>
    <w:p>
      <w:pPr>
        <w:spacing w:before="100" w:after="160"/>
        <w:ind w:left="173" w:right="173"/>
        <w:shd w:fill="EAF2F8"/>
        <w:pBdr>
          <w:top w:val="single" w:sz="5" w:space="4" w:color="CCD8E3"/>
          <w:left w:val="single" w:sz="5" w:space="4" w:color="CCD8E3"/>
          <w:bottom w:val="single" w:sz="5" w:space="4" w:color="CCD8E3"/>
          <w:right w:val="single" w:sz="5" w:space="4" w:color="CCD8E3"/>
        </w:pBdr>
      </w:pPr>
      <w:r>
        <w:rPr>
          <w:b/>
          <w:color w:val="10243E"/>
        </w:rPr>
        <w:t xml:space="preserve">Final developer test  </w:t>
      </w:r>
      <w:r>
        <w:t>A developer should be able to explain the feature in one sentence: “SEnuke AI connects an authorized Google Business Profile, uses its available evidence to improve Local SEO, prepares approved work, performs only supported actions and decides what should happen next.”</w:t>
      </w:r>
    </w:p>
    <w:p>
      <w:pPr>
        <w:pStyle w:val="Heading1"/>
        <w:keepNext/>
      </w:pPr>
      <w:r>
        <w:t>Governing References</w:t>
      </w:r>
    </w:p>
    <w:p>
      <w:pPr>
        <w:pStyle w:val="ListBullet"/>
      </w:pPr>
      <w:r>
        <w:t>00 Master Index and Developer Instructions — simple English, smallest complete workflow and no unnecessary menu items.</w:t>
      </w:r>
    </w:p>
    <w:p>
      <w:pPr>
        <w:pStyle w:val="ListBullet"/>
      </w:pPr>
      <w:r>
        <w:t>DEV-032 — Integrations Hub owns connection, permissions, health and capability discovery.</w:t>
      </w:r>
    </w:p>
    <w:p>
      <w:pPr>
        <w:pStyle w:val="ListBullet"/>
      </w:pPr>
      <w:r>
        <w:t>DEV-039 — approved Local SEO and Google Business Profile V1 scope.</w:t>
      </w:r>
    </w:p>
    <w:p>
      <w:pPr>
        <w:pStyle w:val="ListBullet"/>
      </w:pPr>
      <w:r>
        <w:t>DEV-021 — reputation monitoring, drafted replies, approval and history.</w:t>
      </w:r>
    </w:p>
    <w:p>
      <w:pPr>
        <w:pStyle w:val="ListBullet"/>
      </w:pPr>
      <w:r>
        <w:t>DEV-042 — GBP update creation and publishing only where APIs permit.</w:t>
      </w:r>
    </w:p>
    <w:p>
      <w:pPr>
        <w:pStyle w:val="ListBullet"/>
      </w:pPr>
      <w:r>
        <w:t>DEV-047 Part 3 — capability-aware execution, explicit handoff and verified external action.</w:t>
      </w:r>
    </w:p>
    <w:p>
      <w:pPr>
        <w:pStyle w:val="ListBullet"/>
      </w:pPr>
      <w:r>
        <w:t>Current official Google Business Profile API documentation and policies — implementation dependency; verify before release because access, policies and APIs can change.</w:t>
      </w:r>
    </w:p>
    <w:sectPr w:rsidR="00FC693F" w:rsidRPr="0006063C" w:rsidSect="00034616">
      <w:headerReference w:type="default" r:id="rId9"/>
      <w:footerReference w:type="default" r:id="rId10"/>
      <w:pgSz w:w="12240" w:h="15840"/>
      <w:pgMar w:top="1152" w:right="1440" w:bottom="1152"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E6B78"/>
        <w:sz w:val="16"/>
      </w:rPr>
      <w:t xml:space="preserve">SEnuke AI Development Master  |  DEV-051  |  Page </w:t>
    </w: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tabs>
        <w:tab w:val="right" w:pos="9360"/>
      </w:tabs>
    </w:pPr>
    <w:r>
      <w:rPr>
        <w:rFonts w:ascii="Calibri" w:hAnsi="Calibri"/>
        <w:b/>
        <w:color w:val="5E6B78"/>
        <w:sz w:val="16"/>
      </w:rPr>
      <w:t>SEnuke AI  |  DEV-051 Google Business Profile V1</w:t>
    </w:r>
    <w:r>
      <w:tab/>
    </w:r>
    <w:r>
      <w:rPr>
        <w:rFonts w:ascii="Calibri" w:hAnsi="Calibri"/>
        <w:color w:val="5E6B78"/>
        <w:sz w:val="16"/>
      </w:rPr>
      <w:t>V1 Scope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color w:val="1633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libri" w:hAnsi="Calibri"/>
      <w:b/>
      <w:bCs/>
      <w:color w:val="176BBA"/>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0243E"/>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6D5CE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Calibri" w:hAnsi="Calibri"/>
      <w:b/>
      <w:color w:val="10243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b w:val="0"/>
      <w:i/>
      <w:iCs/>
      <w:color w:val="5E6B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ind w:left="547" w:hanging="259"/>
      <w:contextualSpacing/>
    </w:pPr>
    <w:rPr>
      <w:rFonts w:ascii="Calibri" w:hAnsi="Calibri"/>
      <w:color w:val="163342"/>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9" w:lineRule="auto"/>
      <w:ind w:left="547" w:hanging="259"/>
      <w:contextualSpacing/>
    </w:pPr>
    <w:rPr>
      <w:rFonts w:ascii="Calibri" w:hAnsi="Calibri"/>
      <w:color w:val="163342"/>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line="240" w:lineRule="auto"/>
      <w:ind w:left="259" w:right="259"/>
    </w:pPr>
    <w:rPr>
      <w:rFonts w:ascii="Consolas" w:hAnsi="Consolas"/>
      <w:color w:val="163342"/>
      <w:sz w:val="16"/>
    </w:rPr>
  </w:style>
  <w:style w:type="paragraph" w:customStyle="1" w:styleId="Callout">
    <w:name w:val="Callout"/>
    <w:pPr>
      <w:spacing w:before="100" w:after="160" w:line="259" w:lineRule="auto"/>
      <w:ind w:left="288" w:right="288"/>
    </w:pPr>
    <w:rPr>
      <w:rFonts w:ascii="Calibri" w:hAnsi="Calibri"/>
      <w:b/>
      <w:color w:val="10243E"/>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