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448"/>
          <w:sz w:val="40"/>
        </w:rPr>
        <w:t>SEnuke AI Search Atlas Competitive Gap Launch Add-On - Mockup Functionality Guide</w:t>
      </w:r>
    </w:p>
    <w:p>
      <w:pPr>
        <w:jc w:val="center"/>
      </w:pPr>
      <w:r>
        <w:rPr>
          <w:color w:val="5A5A5A"/>
          <w:sz w:val="18"/>
        </w:rPr>
        <w:t>v1.0 | July 6, 2026</w:t>
        <w:br/>
        <w:t>Confidential - SEnuke AI Internal Development Material</w:t>
      </w:r>
    </w:p>
    <w:p/>
    <w:p>
      <w:pPr>
        <w:pStyle w:val="Heading1"/>
      </w:pPr>
      <w:r>
        <w:t>1. Guide Purpose</w:t>
      </w:r>
    </w:p>
    <w:p>
      <w:r>
        <w:t>This guide explains each GUI mockup included in the package and how the screen should behave. The screens are designed to keep the experience powerful underneath but simple on the surface.</w:t>
      </w:r>
    </w:p>
    <w:p>
      <w:pPr>
        <w:pStyle w:val="Heading2"/>
      </w:pPr>
      <w:r>
        <w:t>01 Competitive Gap Launch Overview</w:t>
      </w:r>
    </w:p>
    <w:p>
      <w:r>
        <w:t>Admin/product overview showing launch readiness across SEO Fix Queue, WordPress, Local SEO, AI Visibility, Authority, Reports, Demo Mode, Ad Suggestions, and Ecommerce Export. Used by internal team/admins, not necessarily all end users.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02 SEO Fix Queue</w:t>
      </w:r>
    </w:p>
    <w:p>
      <w:r>
        <w:t>Shows prioritized fixes from site analysis. Each item includes issue, URL, severity, impact, risk, credits, and action buttons.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03 Fix Detail Approval</w:t>
      </w:r>
    </w:p>
    <w:p>
      <w:r>
        <w:t>Review page for one fix. User can edit, revise with AI, approve, reject, export to developer, or send to Execution Plan.</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04 WordPress Publishing</w:t>
      </w:r>
    </w:p>
    <w:p>
      <w:r>
        <w:t>Integration-ready workflow for pushing approved content to WordPress. If not connected, user sees connect/manual export options.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05 Local SEO Setup</w:t>
      </w:r>
    </w:p>
    <w:p>
      <w:r>
        <w:t>Collects local business information and shows readiness checklist for local SEO plan generation.</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06 Local SEO Execution Plan</w:t>
      </w:r>
    </w:p>
    <w:p>
      <w:r>
        <w:t>Shows city/service pages, GBP checklist, citations, reviews, local authority, and booking/CTA tasks.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07 AI Visibility Tracker</w:t>
      </w:r>
    </w:p>
    <w:p>
      <w:r>
        <w:t>Tracks selected AI visibility questions, brand/competitor visibility, citation gaps, and generated execution tasks.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08 Safe Authority Builder</w:t>
      </w:r>
    </w:p>
    <w:p>
      <w:r>
        <w:t>Shows authority opportunities with value and risk labels. Unsafe opportunities are blocked or marked avoid.</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09 White-Label Report Builder</w:t>
      </w:r>
    </w:p>
    <w:p>
      <w:r>
        <w:t>Agency report/proposal builder with branding fields, report type selection, preview, approval, and export.</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10 Demo Proof Mode</w:t>
      </w:r>
    </w:p>
    <w:p>
      <w:r>
        <w:t>Creates sample projects with fake/demo data for onboarding, affiliates, JVZoo demos, and user education.</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11 Ad and Landing Page Suggestions</w:t>
      </w:r>
    </w:p>
    <w:p>
      <w:r>
        <w:t>Generates ad copy and landing page improvement ideas without connecting ad accounts or changing budgets.</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12 Shopify Export Guidance</w:t>
      </w:r>
    </w:p>
    <w:p>
      <w:r>
        <w:t>Provides ecommerce SEO content and manual Shopify publishing steps without requiring full Shopify integration at launch.</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p>
      <w:pPr>
        <w:pStyle w:val="Heading2"/>
      </w:pPr>
      <w:r>
        <w:t>13 Launch Readiness Checklist</w:t>
      </w:r>
    </w:p>
    <w:p>
      <w:r>
        <w:t>Checks whether each competitive-gap v1 feature is connected to readiness checks, credits, approval, and Execution Engine routing.</w:t>
      </w:r>
    </w:p>
    <w:p>
      <w:pPr>
        <w:pStyle w:val="ListBullet"/>
      </w:pPr>
      <w:r>
        <w:t>Must show missing prerequisites as guided actions, not dead-end errors.</w:t>
      </w:r>
    </w:p>
    <w:p>
      <w:pPr>
        <w:pStyle w:val="ListBullet"/>
      </w:pPr>
      <w:r>
        <w:t>Must route approved recommendations into the Execution Engine.</w:t>
      </w:r>
    </w:p>
    <w:p>
      <w:pPr>
        <w:pStyle w:val="ListBullet"/>
      </w:pPr>
      <w:r>
        <w:t>Must pass usage/credits preflight where the action consumes AI/data/API resources.</w:t>
      </w:r>
    </w:p>
    <w:p>
      <w:pPr>
        <w:pStyle w:val="ListBullet"/>
      </w:pPr>
      <w:r>
        <w:t>Must respect AI output review/versioning before public-facing execution.</w:t>
      </w:r>
    </w:p>
    <w:sectPr w:rsidR="00FC693F" w:rsidRPr="0006063C" w:rsidSect="00034616">
      <w:footerReference w:type="default" r:id="rId9"/>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SEnuke AI Internal Development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4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4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4B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