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SEnuke AI</w:t>
      </w:r>
    </w:p>
    <w:p>
      <w:pPr>
        <w:jc w:val="center"/>
      </w:pPr>
      <w:r>
        <w:rPr>
          <w:b/>
          <w:color w:val="1F4E79"/>
          <w:sz w:val="68"/>
        </w:rPr>
        <w:t>DEV-030</w:t>
      </w:r>
    </w:p>
    <w:p>
      <w:pPr>
        <w:jc w:val="center"/>
      </w:pPr>
      <w:r>
        <w:rPr>
          <w:b/>
          <w:color w:val="17365D"/>
          <w:sz w:val="44"/>
        </w:rPr>
        <w:t>Commercial Architecture, Licensing &amp; Billing Engine</w:t>
      </w:r>
    </w:p>
    <w:p>
      <w:pPr>
        <w:jc w:val="center"/>
      </w:pPr>
      <w:r>
        <w:rPr>
          <w:sz w:val="22"/>
        </w:rPr>
        <w:t>Permanent Development Master Specification</w:t>
        <w:br/>
        <w:t>Version 1.0 | Status: Approved Implementation Source of Truth</w:t>
        <w:br/>
        <w:t>Date: July 2026</w:t>
      </w:r>
    </w:p>
    <w:p>
      <w:r>
        <w:br/>
      </w:r>
    </w:p>
    <w:p>
      <w:pPr>
        <w:pStyle w:val="Callout"/>
        <w:jc w:val="center"/>
      </w:pPr>
      <w:r>
        <w:t>Governing rule: subscriptions, entitlements, seats, projects, clients, AI Capacity, Capacity Boosts, billing state and commercial history belong to the workspace unless this specification explicitly states otherwise.</w:t>
      </w:r>
    </w:p>
    <w:p>
      <w:r>
        <w:br w:type="page"/>
      </w:r>
    </w:p>
    <w:p>
      <w:pPr>
        <w:pStyle w:val="Heading1"/>
      </w:pPr>
      <w:r>
        <w:t>Document Governance</w:t>
      </w:r>
    </w:p>
    <w:p>
      <w:r>
        <w:t>DEV-030 is the definitive technical specification for every commercial, licensing, subscription, entitlement, capacity and billing rule in SEnuke AI. It reconciles the Commercial Architecture &amp; Pricing Master with the approved Development Master architecture. When an older commercial implementation detail conflicts with this document, DEV-030 governs. Product workflows, permissions, approval rules, workspace isolation, the Capacity Engine and the AI Orchestrator remain intact and are integrated here rather than replaced.</w:t>
      </w:r>
    </w:p>
    <w:tbl>
      <w:tblPr>
        <w:tblStyle w:val="TableGrid"/>
        <w:tblW w:type="auto" w:w="0"/>
        <w:jc w:val="center"/>
        <w:tblLook w:firstColumn="1" w:firstRow="1" w:lastColumn="0" w:lastRow="0" w:noHBand="0" w:noVBand="1" w:val="04A0"/>
      </w:tblPr>
      <w:tblGrid>
        <w:gridCol w:w="5083"/>
        <w:gridCol w:w="5083"/>
      </w:tblGrid>
      <w:tr>
        <w:tc>
          <w:tcPr>
            <w:tcW w:type="dxa" w:w="2088"/>
            <w:shd w:fill="17365D"/>
            <w:vAlign w:val="center"/>
          </w:tcPr>
          <w:p>
            <w:r/>
            <w:r>
              <w:rPr>
                <w:b/>
                <w:color w:val="FFFFFF"/>
                <w:sz w:val="16"/>
              </w:rPr>
              <w:t>Item</w:t>
            </w:r>
          </w:p>
        </w:tc>
        <w:tc>
          <w:tcPr>
            <w:tcW w:type="dxa" w:w="8208"/>
            <w:shd w:fill="17365D"/>
            <w:vAlign w:val="center"/>
          </w:tcPr>
          <w:p>
            <w:r/>
            <w:r>
              <w:rPr>
                <w:b/>
                <w:color w:val="FFFFFF"/>
                <w:sz w:val="16"/>
              </w:rPr>
              <w:t>Decision</w:t>
            </w:r>
          </w:p>
        </w:tc>
      </w:tr>
      <w:tr>
        <w:tc>
          <w:tcPr>
            <w:tcW w:type="dxa" w:w="2088"/>
            <w:vAlign w:val="center"/>
          </w:tcPr>
          <w:p>
            <w:r/>
            <w:r>
              <w:rPr>
                <w:b w:val="0"/>
                <w:sz w:val="16"/>
              </w:rPr>
              <w:t>Authority</w:t>
            </w:r>
          </w:p>
        </w:tc>
        <w:tc>
          <w:tcPr>
            <w:tcW w:type="dxa" w:w="8208"/>
            <w:vAlign w:val="center"/>
          </w:tcPr>
          <w:p>
            <w:r/>
            <w:r>
              <w:rPr>
                <w:b w:val="0"/>
                <w:sz w:val="16"/>
              </w:rPr>
              <w:t>Single source of truth for commercial implementation.</w:t>
            </w:r>
          </w:p>
        </w:tc>
      </w:tr>
      <w:tr>
        <w:tc>
          <w:tcPr>
            <w:tcW w:type="dxa" w:w="2088"/>
            <w:vAlign w:val="center"/>
          </w:tcPr>
          <w:p>
            <w:r/>
            <w:r>
              <w:rPr>
                <w:b w:val="0"/>
                <w:sz w:val="16"/>
              </w:rPr>
              <w:t>Applies to</w:t>
            </w:r>
          </w:p>
        </w:tc>
        <w:tc>
          <w:tcPr>
            <w:tcW w:type="dxa" w:w="8208"/>
            <w:vAlign w:val="center"/>
          </w:tcPr>
          <w:p>
            <w:r/>
            <w:r>
              <w:rPr>
                <w:b w:val="0"/>
                <w:sz w:val="16"/>
              </w:rPr>
              <w:t>All production services, APIs, databases, workers, admin tools, customer UI and external billing adapters.</w:t>
            </w:r>
          </w:p>
        </w:tc>
      </w:tr>
      <w:tr>
        <w:tc>
          <w:tcPr>
            <w:tcW w:type="dxa" w:w="2088"/>
            <w:vAlign w:val="center"/>
          </w:tcPr>
          <w:p>
            <w:r/>
            <w:r>
              <w:rPr>
                <w:b w:val="0"/>
                <w:sz w:val="16"/>
              </w:rPr>
              <w:t>Do not hard-code</w:t>
            </w:r>
          </w:p>
        </w:tc>
        <w:tc>
          <w:tcPr>
            <w:tcW w:type="dxa" w:w="8208"/>
            <w:vAlign w:val="center"/>
          </w:tcPr>
          <w:p>
            <w:r/>
            <w:r>
              <w:rPr>
                <w:b w:val="0"/>
                <w:sz w:val="16"/>
              </w:rPr>
              <w:t>Plan limits, prices, capacity amounts, grace periods or retention periods. Store them in immutable, versioned commercial configuration.</w:t>
            </w:r>
          </w:p>
        </w:tc>
      </w:tr>
      <w:tr>
        <w:tc>
          <w:tcPr>
            <w:tcW w:type="dxa" w:w="2088"/>
            <w:vAlign w:val="center"/>
          </w:tcPr>
          <w:p>
            <w:r/>
            <w:r>
              <w:rPr>
                <w:b w:val="0"/>
                <w:sz w:val="16"/>
              </w:rPr>
              <w:t>Existing identifier conflict</w:t>
            </w:r>
          </w:p>
        </w:tc>
        <w:tc>
          <w:tcPr>
            <w:tcW w:type="dxa" w:w="8208"/>
            <w:vAlign w:val="center"/>
          </w:tcPr>
          <w:p>
            <w:r/>
            <w:r>
              <w:rPr>
                <w:b w:val="0"/>
                <w:sz w:val="16"/>
              </w:rPr>
              <w:t>A prior document uses DEV-030 for the AI Website Generation Engine. To preserve one authoritative numbering system, that document must be renumbered (recommended DEV-035) without changing its approved content.</w:t>
            </w:r>
          </w:p>
        </w:tc>
      </w:tr>
      <w:tr>
        <w:tc>
          <w:tcPr>
            <w:tcW w:type="dxa" w:w="2088"/>
            <w:vAlign w:val="center"/>
          </w:tcPr>
          <w:p>
            <w:r/>
            <w:r>
              <w:rPr>
                <w:b w:val="0"/>
                <w:sz w:val="16"/>
              </w:rPr>
              <w:t>Change control</w:t>
            </w:r>
          </w:p>
        </w:tc>
        <w:tc>
          <w:tcPr>
            <w:tcW w:type="dxa" w:w="8208"/>
            <w:vAlign w:val="center"/>
          </w:tcPr>
          <w:p>
            <w:r/>
            <w:r>
              <w:rPr>
                <w:b w:val="0"/>
                <w:sz w:val="16"/>
              </w:rPr>
              <w:t>Commercial changes require a new PlanVersion/PriceVersion/PolicyVersion and an effective date. Historical subscriptions retain the version they were sold under unless an approved migration explicitly changes it.</w:t>
            </w:r>
          </w:p>
        </w:tc>
      </w:tr>
    </w:tbl>
    <w:p/>
    <w:p>
      <w:pPr>
        <w:pStyle w:val="Heading1"/>
      </w:pPr>
      <w:r>
        <w:t>1. Locked Commercial Baseline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584"/>
            <w:shd w:fill="17365D"/>
            <w:vAlign w:val="center"/>
          </w:tcPr>
          <w:p>
            <w:r/>
            <w:r>
              <w:rPr>
                <w:b/>
                <w:color w:val="FFFFFF"/>
                <w:sz w:val="16"/>
              </w:rPr>
              <w:t>Plan</w:t>
            </w:r>
          </w:p>
        </w:tc>
        <w:tc>
          <w:tcPr>
            <w:tcW w:type="dxa" w:w="1584"/>
            <w:shd w:fill="17365D"/>
            <w:vAlign w:val="center"/>
          </w:tcPr>
          <w:p>
            <w:r/>
            <w:r>
              <w:rPr>
                <w:b/>
                <w:color w:val="FFFFFF"/>
                <w:sz w:val="16"/>
              </w:rPr>
              <w:t>Founding Monthly</w:t>
            </w:r>
          </w:p>
        </w:tc>
        <w:tc>
          <w:tcPr>
            <w:tcW w:type="dxa" w:w="1584"/>
            <w:shd w:fill="17365D"/>
            <w:vAlign w:val="center"/>
          </w:tcPr>
          <w:p>
            <w:r/>
            <w:r>
              <w:rPr>
                <w:b/>
                <w:color w:val="FFFFFF"/>
                <w:sz w:val="16"/>
              </w:rPr>
              <w:t>Founding Annual</w:t>
            </w:r>
          </w:p>
        </w:tc>
        <w:tc>
          <w:tcPr>
            <w:tcW w:type="dxa" w:w="1728"/>
            <w:shd w:fill="17365D"/>
            <w:vAlign w:val="center"/>
          </w:tcPr>
          <w:p>
            <w:r/>
            <w:r>
              <w:rPr>
                <w:b/>
                <w:color w:val="FFFFFF"/>
                <w:sz w:val="16"/>
              </w:rPr>
              <w:t>Intended Standard Monthly</w:t>
            </w:r>
          </w:p>
        </w:tc>
        <w:tc>
          <w:tcPr>
            <w:tcW w:type="dxa" w:w="3744"/>
            <w:shd w:fill="17365D"/>
            <w:vAlign w:val="center"/>
          </w:tcPr>
          <w:p>
            <w:r/>
            <w:r>
              <w:rPr>
                <w:b/>
                <w:color w:val="FFFFFF"/>
                <w:sz w:val="16"/>
              </w:rPr>
              <w:t>Plan Role</w:t>
            </w:r>
          </w:p>
        </w:tc>
      </w:tr>
      <w:tr>
        <w:tc>
          <w:tcPr>
            <w:tcW w:type="dxa" w:w="1584"/>
            <w:vAlign w:val="center"/>
          </w:tcPr>
          <w:p>
            <w:r/>
            <w:r>
              <w:rPr>
                <w:b w:val="0"/>
                <w:sz w:val="16"/>
              </w:rPr>
              <w:t>Starter</w:t>
            </w:r>
          </w:p>
        </w:tc>
        <w:tc>
          <w:tcPr>
            <w:tcW w:type="dxa" w:w="1584"/>
            <w:vAlign w:val="center"/>
          </w:tcPr>
          <w:p>
            <w:r/>
            <w:r>
              <w:rPr>
                <w:b w:val="0"/>
                <w:sz w:val="16"/>
              </w:rPr>
              <w:t>$77</w:t>
            </w:r>
          </w:p>
        </w:tc>
        <w:tc>
          <w:tcPr>
            <w:tcW w:type="dxa" w:w="1584"/>
            <w:vAlign w:val="center"/>
          </w:tcPr>
          <w:p>
            <w:r/>
            <w:r>
              <w:rPr>
                <w:b w:val="0"/>
                <w:sz w:val="16"/>
              </w:rPr>
              <w:t>$770</w:t>
            </w:r>
          </w:p>
        </w:tc>
        <w:tc>
          <w:tcPr>
            <w:tcW w:type="dxa" w:w="1728"/>
            <w:vAlign w:val="center"/>
          </w:tcPr>
          <w:p>
            <w:r/>
            <w:r>
              <w:rPr>
                <w:b w:val="0"/>
                <w:sz w:val="16"/>
              </w:rPr>
              <w:t>$97</w:t>
            </w:r>
          </w:p>
        </w:tc>
        <w:tc>
          <w:tcPr>
            <w:tcW w:type="dxa" w:w="3744"/>
            <w:vAlign w:val="center"/>
          </w:tcPr>
          <w:p>
            <w:r/>
            <w:r>
              <w:rPr>
                <w:b w:val="0"/>
                <w:sz w:val="16"/>
              </w:rPr>
              <w:t>Individuals and early-stage projects.</w:t>
            </w:r>
          </w:p>
        </w:tc>
      </w:tr>
      <w:tr>
        <w:tc>
          <w:tcPr>
            <w:tcW w:type="dxa" w:w="1584"/>
            <w:vAlign w:val="center"/>
          </w:tcPr>
          <w:p>
            <w:r/>
            <w:r>
              <w:rPr>
                <w:b w:val="0"/>
                <w:sz w:val="16"/>
              </w:rPr>
              <w:t>Business</w:t>
            </w:r>
          </w:p>
        </w:tc>
        <w:tc>
          <w:tcPr>
            <w:tcW w:type="dxa" w:w="1584"/>
            <w:vAlign w:val="center"/>
          </w:tcPr>
          <w:p>
            <w:r/>
            <w:r>
              <w:rPr>
                <w:b w:val="0"/>
                <w:sz w:val="16"/>
              </w:rPr>
              <w:t>$147</w:t>
            </w:r>
          </w:p>
        </w:tc>
        <w:tc>
          <w:tcPr>
            <w:tcW w:type="dxa" w:w="1584"/>
            <w:vAlign w:val="center"/>
          </w:tcPr>
          <w:p>
            <w:r/>
            <w:r>
              <w:rPr>
                <w:b w:val="0"/>
                <w:sz w:val="16"/>
              </w:rPr>
              <w:t>$1,470</w:t>
            </w:r>
          </w:p>
        </w:tc>
        <w:tc>
          <w:tcPr>
            <w:tcW w:type="dxa" w:w="1728"/>
            <w:vAlign w:val="center"/>
          </w:tcPr>
          <w:p>
            <w:r/>
            <w:r>
              <w:rPr>
                <w:b w:val="0"/>
                <w:sz w:val="16"/>
              </w:rPr>
              <w:t>$197</w:t>
            </w:r>
          </w:p>
        </w:tc>
        <w:tc>
          <w:tcPr>
            <w:tcW w:type="dxa" w:w="3744"/>
            <w:vAlign w:val="center"/>
          </w:tcPr>
          <w:p>
            <w:r/>
            <w:r>
              <w:rPr>
                <w:b w:val="0"/>
                <w:sz w:val="16"/>
              </w:rPr>
              <w:t>Operating businesses requiring broader execution capacity.</w:t>
            </w:r>
          </w:p>
        </w:tc>
      </w:tr>
      <w:tr>
        <w:tc>
          <w:tcPr>
            <w:tcW w:type="dxa" w:w="1584"/>
            <w:vAlign w:val="center"/>
          </w:tcPr>
          <w:p>
            <w:r/>
            <w:r>
              <w:rPr>
                <w:b w:val="0"/>
                <w:sz w:val="16"/>
              </w:rPr>
              <w:t>Agency</w:t>
            </w:r>
          </w:p>
        </w:tc>
        <w:tc>
          <w:tcPr>
            <w:tcW w:type="dxa" w:w="1584"/>
            <w:vAlign w:val="center"/>
          </w:tcPr>
          <w:p>
            <w:r/>
            <w:r>
              <w:rPr>
                <w:b w:val="0"/>
                <w:sz w:val="16"/>
              </w:rPr>
              <w:t>$367</w:t>
            </w:r>
          </w:p>
        </w:tc>
        <w:tc>
          <w:tcPr>
            <w:tcW w:type="dxa" w:w="1584"/>
            <w:vAlign w:val="center"/>
          </w:tcPr>
          <w:p>
            <w:r/>
            <w:r>
              <w:rPr>
                <w:b w:val="0"/>
                <w:sz w:val="16"/>
              </w:rPr>
              <w:t>$3,670</w:t>
            </w:r>
          </w:p>
        </w:tc>
        <w:tc>
          <w:tcPr>
            <w:tcW w:type="dxa" w:w="1728"/>
            <w:vAlign w:val="center"/>
          </w:tcPr>
          <w:p>
            <w:r/>
            <w:r>
              <w:rPr>
                <w:b w:val="0"/>
                <w:sz w:val="16"/>
              </w:rPr>
              <w:t>$497</w:t>
            </w:r>
          </w:p>
        </w:tc>
        <w:tc>
          <w:tcPr>
            <w:tcW w:type="dxa" w:w="3744"/>
            <w:vAlign w:val="center"/>
          </w:tcPr>
          <w:p>
            <w:r/>
            <w:r>
              <w:rPr>
                <w:b w:val="0"/>
                <w:sz w:val="16"/>
              </w:rPr>
              <w:t>Agencies and multi-client operations.</w:t>
            </w:r>
          </w:p>
        </w:tc>
      </w:tr>
    </w:tbl>
    <w:p/>
    <w:p>
      <w:pPr>
        <w:pStyle w:val="ListBullet"/>
      </w:pPr>
      <w:r>
        <w:t>No lifetime offer and no temporary 30-day access pass.</w:t>
      </w:r>
    </w:p>
    <w:p>
      <w:pPr>
        <w:pStyle w:val="ListBullet"/>
      </w:pPr>
      <w:r>
        <w:t>Founding purchases occur during the approved Founding Launch Event and create Founding Member status immediately.</w:t>
      </w:r>
    </w:p>
    <w:p>
      <w:pPr>
        <w:pStyle w:val="ListBullet"/>
      </w:pPr>
      <w:r>
        <w:t>Founding pricing remains protected while the eligible subscription remains continuously active and in good standing, subject to the lifecycle rules in this specification.</w:t>
      </w:r>
    </w:p>
    <w:p>
      <w:pPr>
        <w:pStyle w:val="ListBullet"/>
      </w:pPr>
      <w:r>
        <w:t>One included Owner seat per workspace. Additional named seats are separately purchased entitlements.</w:t>
      </w:r>
    </w:p>
    <w:p>
      <w:pPr>
        <w:pStyle w:val="ListBullet"/>
      </w:pPr>
      <w:r>
        <w:t>Agency does not include multiple paid internal seats by default solely because it is an Agency plan.</w:t>
      </w:r>
    </w:p>
    <w:p>
      <w:pPr>
        <w:pStyle w:val="ListBullet"/>
      </w:pPr>
      <w:r>
        <w:t>Client Viewer is a restricted role and normally includes no AI Capacity allowance.</w:t>
      </w:r>
    </w:p>
    <w:p>
      <w:pPr>
        <w:pStyle w:val="ListBullet"/>
      </w:pPr>
      <w:r>
        <w:t>AI Capacity is a workspace resource; raw tokens, model prices and provider names are not customer-facing.</w:t>
      </w:r>
    </w:p>
    <w:p>
      <w:pPr>
        <w:pStyle w:val="ListBullet"/>
      </w:pPr>
      <w:r>
        <w:t>Capacity Boosts are paid additions to workspace capacity and do not change the base subscription plan.</w:t>
      </w:r>
    </w:p>
    <w:p>
      <w:pPr>
        <w:pStyle w:val="ListBullet"/>
      </w:pPr>
      <w:r>
        <w:t>Exact active-project, client, seat, included-capacity and fair-usage thresholds are loaded from the locked Commercial Architecture matrix as versioned configuration. They must never be embedded in application code.</w:t>
      </w:r>
    </w:p>
    <w:p>
      <w:pPr>
        <w:pStyle w:val="Heading1"/>
      </w:pPr>
      <w:r>
        <w:t>2. Core Design Principles</w:t>
      </w:r>
    </w:p>
    <w:tbl>
      <w:tblPr>
        <w:tblStyle w:val="TableGrid"/>
        <w:tblW w:type="auto" w:w="0"/>
        <w:jc w:val="center"/>
        <w:tblLook w:firstColumn="1" w:firstRow="1" w:lastColumn="0" w:lastRow="0" w:noHBand="0" w:noVBand="1" w:val="04A0"/>
      </w:tblPr>
      <w:tblGrid>
        <w:gridCol w:w="5083"/>
        <w:gridCol w:w="5083"/>
      </w:tblGrid>
      <w:tr>
        <w:tc>
          <w:tcPr>
            <w:tcW w:type="dxa" w:w="2088"/>
            <w:shd w:fill="17365D"/>
            <w:vAlign w:val="center"/>
          </w:tcPr>
          <w:p>
            <w:r/>
            <w:r>
              <w:rPr>
                <w:b/>
                <w:color w:val="FFFFFF"/>
                <w:sz w:val="16"/>
              </w:rPr>
              <w:t>Principle</w:t>
            </w:r>
          </w:p>
        </w:tc>
        <w:tc>
          <w:tcPr>
            <w:tcW w:type="dxa" w:w="8208"/>
            <w:shd w:fill="17365D"/>
            <w:vAlign w:val="center"/>
          </w:tcPr>
          <w:p>
            <w:r/>
            <w:r>
              <w:rPr>
                <w:b/>
                <w:color w:val="FFFFFF"/>
                <w:sz w:val="16"/>
              </w:rPr>
              <w:t>Implementation Requirement</w:t>
            </w:r>
          </w:p>
        </w:tc>
      </w:tr>
      <w:tr>
        <w:tc>
          <w:tcPr>
            <w:tcW w:type="dxa" w:w="2088"/>
            <w:vAlign w:val="center"/>
          </w:tcPr>
          <w:p>
            <w:r/>
            <w:r>
              <w:rPr>
                <w:b w:val="0"/>
                <w:sz w:val="16"/>
              </w:rPr>
              <w:t>Workspace-first</w:t>
            </w:r>
          </w:p>
        </w:tc>
        <w:tc>
          <w:tcPr>
            <w:tcW w:type="dxa" w:w="8208"/>
            <w:vAlign w:val="center"/>
          </w:tcPr>
          <w:p>
            <w:r/>
            <w:r>
              <w:rPr>
                <w:b w:val="0"/>
                <w:sz w:val="16"/>
              </w:rPr>
              <w:t>A user account may belong to multiple workspaces. The subscription and commercial state are resolved per workspace, not per user.</w:t>
            </w:r>
          </w:p>
        </w:tc>
      </w:tr>
      <w:tr>
        <w:tc>
          <w:tcPr>
            <w:tcW w:type="dxa" w:w="2088"/>
            <w:vAlign w:val="center"/>
          </w:tcPr>
          <w:p>
            <w:r/>
            <w:r>
              <w:rPr>
                <w:b w:val="0"/>
                <w:sz w:val="16"/>
              </w:rPr>
              <w:t>Entitlement-driven</w:t>
            </w:r>
          </w:p>
        </w:tc>
        <w:tc>
          <w:tcPr>
            <w:tcW w:type="dxa" w:w="8208"/>
            <w:vAlign w:val="center"/>
          </w:tcPr>
          <w:p>
            <w:r/>
            <w:r>
              <w:rPr>
                <w:b w:val="0"/>
                <w:sz w:val="16"/>
              </w:rPr>
              <w:t>Features check the Entitlement Service; modules do not infer access from plan names.</w:t>
            </w:r>
          </w:p>
        </w:tc>
      </w:tr>
      <w:tr>
        <w:tc>
          <w:tcPr>
            <w:tcW w:type="dxa" w:w="2088"/>
            <w:vAlign w:val="center"/>
          </w:tcPr>
          <w:p>
            <w:r/>
            <w:r>
              <w:rPr>
                <w:b w:val="0"/>
                <w:sz w:val="16"/>
              </w:rPr>
              <w:t>Versioned commerce</w:t>
            </w:r>
          </w:p>
        </w:tc>
        <w:tc>
          <w:tcPr>
            <w:tcW w:type="dxa" w:w="8208"/>
            <w:vAlign w:val="center"/>
          </w:tcPr>
          <w:p>
            <w:r/>
            <w:r>
              <w:rPr>
                <w:b w:val="0"/>
                <w:sz w:val="16"/>
              </w:rPr>
              <w:t>Every subscription references immutable plan, price and policy versions.</w:t>
            </w:r>
          </w:p>
        </w:tc>
      </w:tr>
      <w:tr>
        <w:tc>
          <w:tcPr>
            <w:tcW w:type="dxa" w:w="2088"/>
            <w:vAlign w:val="center"/>
          </w:tcPr>
          <w:p>
            <w:r/>
            <w:r>
              <w:rPr>
                <w:b w:val="0"/>
                <w:sz w:val="16"/>
              </w:rPr>
              <w:t>Ledger-based capacity</w:t>
            </w:r>
          </w:p>
        </w:tc>
        <w:tc>
          <w:tcPr>
            <w:tcW w:type="dxa" w:w="8208"/>
            <w:vAlign w:val="center"/>
          </w:tcPr>
          <w:p>
            <w:r/>
            <w:r>
              <w:rPr>
                <w:b w:val="0"/>
                <w:sz w:val="16"/>
              </w:rPr>
              <w:t>Capacity is calculated from append-only ledger entries, with cached balances for speed.</w:t>
            </w:r>
          </w:p>
        </w:tc>
      </w:tr>
      <w:tr>
        <w:tc>
          <w:tcPr>
            <w:tcW w:type="dxa" w:w="2088"/>
            <w:vAlign w:val="center"/>
          </w:tcPr>
          <w:p>
            <w:r/>
            <w:r>
              <w:rPr>
                <w:b w:val="0"/>
                <w:sz w:val="16"/>
              </w:rPr>
              <w:t>Event-driven billing</w:t>
            </w:r>
          </w:p>
        </w:tc>
        <w:tc>
          <w:tcPr>
            <w:tcW w:type="dxa" w:w="8208"/>
            <w:vAlign w:val="center"/>
          </w:tcPr>
          <w:p>
            <w:r/>
            <w:r>
              <w:rPr>
                <w:b w:val="0"/>
                <w:sz w:val="16"/>
              </w:rPr>
              <w:t>Provider events are normalized, idempotent and processed through a Billing Event Service.</w:t>
            </w:r>
          </w:p>
        </w:tc>
      </w:tr>
      <w:tr>
        <w:tc>
          <w:tcPr>
            <w:tcW w:type="dxa" w:w="2088"/>
            <w:vAlign w:val="center"/>
          </w:tcPr>
          <w:p>
            <w:r/>
            <w:r>
              <w:rPr>
                <w:b w:val="0"/>
                <w:sz w:val="16"/>
              </w:rPr>
              <w:t>No silent loss</w:t>
            </w:r>
          </w:p>
        </w:tc>
        <w:tc>
          <w:tcPr>
            <w:tcW w:type="dxa" w:w="8208"/>
            <w:vAlign w:val="center"/>
          </w:tcPr>
          <w:p>
            <w:r/>
            <w:r>
              <w:rPr>
                <w:b w:val="0"/>
                <w:sz w:val="16"/>
              </w:rPr>
              <w:t>Downgrades, payment failures and entitlement changes must not silently delete customer data.</w:t>
            </w:r>
          </w:p>
        </w:tc>
      </w:tr>
      <w:tr>
        <w:tc>
          <w:tcPr>
            <w:tcW w:type="dxa" w:w="2088"/>
            <w:vAlign w:val="center"/>
          </w:tcPr>
          <w:p>
            <w:r/>
            <w:r>
              <w:rPr>
                <w:b w:val="0"/>
                <w:sz w:val="16"/>
              </w:rPr>
              <w:t>Least privilege</w:t>
            </w:r>
          </w:p>
        </w:tc>
        <w:tc>
          <w:tcPr>
            <w:tcW w:type="dxa" w:w="8208"/>
            <w:vAlign w:val="center"/>
          </w:tcPr>
          <w:p>
            <w:r/>
            <w:r>
              <w:rPr>
                <w:b w:val="0"/>
                <w:sz w:val="16"/>
              </w:rPr>
              <w:t>Commercial admin overrides are permission-controlled and fully audited.</w:t>
            </w:r>
          </w:p>
        </w:tc>
      </w:tr>
      <w:tr>
        <w:tc>
          <w:tcPr>
            <w:tcW w:type="dxa" w:w="2088"/>
            <w:vAlign w:val="center"/>
          </w:tcPr>
          <w:p>
            <w:r/>
            <w:r>
              <w:rPr>
                <w:b w:val="0"/>
                <w:sz w:val="16"/>
              </w:rPr>
              <w:t>Provider independence</w:t>
            </w:r>
          </w:p>
        </w:tc>
        <w:tc>
          <w:tcPr>
            <w:tcW w:type="dxa" w:w="8208"/>
            <w:vAlign w:val="center"/>
          </w:tcPr>
          <w:p>
            <w:r/>
            <w:r>
              <w:rPr>
                <w:b w:val="0"/>
                <w:sz w:val="16"/>
              </w:rPr>
              <w:t>JVZoo, Stripe or another billing provider is an adapter; SEnuke AI remains authoritative for workspace entitlement state.</w:t>
            </w:r>
          </w:p>
        </w:tc>
      </w:tr>
      <w:tr>
        <w:tc>
          <w:tcPr>
            <w:tcW w:type="dxa" w:w="2088"/>
            <w:vAlign w:val="center"/>
          </w:tcPr>
          <w:p>
            <w:r/>
            <w:r>
              <w:rPr>
                <w:b w:val="0"/>
                <w:sz w:val="16"/>
              </w:rPr>
              <w:t>Cost-aware AI</w:t>
            </w:r>
          </w:p>
        </w:tc>
        <w:tc>
          <w:tcPr>
            <w:tcW w:type="dxa" w:w="8208"/>
            <w:vAlign w:val="center"/>
          </w:tcPr>
          <w:p>
            <w:r/>
            <w:r>
              <w:rPr>
                <w:b w:val="0"/>
                <w:sz w:val="16"/>
              </w:rPr>
              <w:t>The Capacity Engine authorizes usage; the AI Orchestrator selects the least-cost suitable provider/model and reports actual usage back to the ledger.</w:t>
            </w:r>
          </w:p>
        </w:tc>
      </w:tr>
    </w:tbl>
    <w:p/>
    <w:p>
      <w:pPr>
        <w:pStyle w:val="Heading1"/>
      </w:pPr>
      <w:r>
        <w:t>3. Domain Architecture</w:t>
      </w:r>
    </w:p>
    <w:p>
      <w:r>
        <w:t>Required service boundary:</w:t>
      </w:r>
    </w:p>
    <w:p>
      <w:pPr>
        <w:pStyle w:val="Callout"/>
      </w:pPr>
      <w:r>
        <w:t>Checkout/Billing Provider -&gt; Billing Adapter -&gt; Billing Event Service -&gt; Subscription Service -&gt; Entitlement Service -&gt; Workspace Access Policy</w:t>
        <w:br/>
        <w:t>AI/Processing Request -&gt; Capacity Estimate -&gt; Capacity Reservation -&gt; AI Orchestrator/Worker -&gt; Actual Usage Settlement -&gt; Capacity Ledger</w:t>
      </w:r>
    </w:p>
    <w:tbl>
      <w:tblPr>
        <w:tblStyle w:val="TableGrid"/>
        <w:tblW w:type="auto" w:w="0"/>
        <w:jc w:val="center"/>
        <w:tblLook w:firstColumn="1" w:firstRow="1" w:lastColumn="0" w:lastRow="0" w:noHBand="0" w:noVBand="1" w:val="04A0"/>
      </w:tblPr>
      <w:tblGrid>
        <w:gridCol w:w="5083"/>
        <w:gridCol w:w="5083"/>
      </w:tblGrid>
      <w:tr>
        <w:tc>
          <w:tcPr>
            <w:tcW w:type="dxa" w:w="2232"/>
            <w:shd w:fill="17365D"/>
            <w:vAlign w:val="center"/>
          </w:tcPr>
          <w:p>
            <w:r/>
            <w:r>
              <w:rPr>
                <w:b/>
                <w:color w:val="FFFFFF"/>
                <w:sz w:val="16"/>
              </w:rPr>
              <w:t>Service</w:t>
            </w:r>
          </w:p>
        </w:tc>
        <w:tc>
          <w:tcPr>
            <w:tcW w:type="dxa" w:w="7992"/>
            <w:shd w:fill="17365D"/>
            <w:vAlign w:val="center"/>
          </w:tcPr>
          <w:p>
            <w:r/>
            <w:r>
              <w:rPr>
                <w:b/>
                <w:color w:val="FFFFFF"/>
                <w:sz w:val="16"/>
              </w:rPr>
              <w:t>Responsibilities</w:t>
            </w:r>
          </w:p>
        </w:tc>
      </w:tr>
      <w:tr>
        <w:tc>
          <w:tcPr>
            <w:tcW w:type="dxa" w:w="2232"/>
            <w:vAlign w:val="center"/>
          </w:tcPr>
          <w:p>
            <w:r/>
            <w:r>
              <w:rPr>
                <w:b w:val="0"/>
                <w:sz w:val="16"/>
              </w:rPr>
              <w:t>Commercial Catalogue Service</w:t>
            </w:r>
          </w:p>
        </w:tc>
        <w:tc>
          <w:tcPr>
            <w:tcW w:type="dxa" w:w="7992"/>
            <w:vAlign w:val="center"/>
          </w:tcPr>
          <w:p>
            <w:r/>
            <w:r>
              <w:rPr>
                <w:b w:val="0"/>
                <w:sz w:val="16"/>
              </w:rPr>
              <w:t>Plan versions, price versions, billing intervals, market/currency, add-ons, policy versions and effective dates.</w:t>
            </w:r>
          </w:p>
        </w:tc>
      </w:tr>
      <w:tr>
        <w:tc>
          <w:tcPr>
            <w:tcW w:type="dxa" w:w="2232"/>
            <w:vAlign w:val="center"/>
          </w:tcPr>
          <w:p>
            <w:r/>
            <w:r>
              <w:rPr>
                <w:b w:val="0"/>
                <w:sz w:val="16"/>
              </w:rPr>
              <w:t>Subscription Service</w:t>
            </w:r>
          </w:p>
        </w:tc>
        <w:tc>
          <w:tcPr>
            <w:tcW w:type="dxa" w:w="7992"/>
            <w:vAlign w:val="center"/>
          </w:tcPr>
          <w:p>
            <w:r/>
            <w:r>
              <w:rPr>
                <w:b w:val="0"/>
                <w:sz w:val="16"/>
              </w:rPr>
              <w:t>Subscription state machine, billing cycle, renewal, upgrades, downgrades, conversions, cancellation and reactivation.</w:t>
            </w:r>
          </w:p>
        </w:tc>
      </w:tr>
      <w:tr>
        <w:tc>
          <w:tcPr>
            <w:tcW w:type="dxa" w:w="2232"/>
            <w:vAlign w:val="center"/>
          </w:tcPr>
          <w:p>
            <w:r/>
            <w:r>
              <w:rPr>
                <w:b w:val="0"/>
                <w:sz w:val="16"/>
              </w:rPr>
              <w:t>Entitlement Service</w:t>
            </w:r>
          </w:p>
        </w:tc>
        <w:tc>
          <w:tcPr>
            <w:tcW w:type="dxa" w:w="7992"/>
            <w:vAlign w:val="center"/>
          </w:tcPr>
          <w:p>
            <w:r/>
            <w:r>
              <w:rPr>
                <w:b w:val="0"/>
                <w:sz w:val="16"/>
              </w:rPr>
              <w:t>Computes effective plan features and numeric limits for a workspace.</w:t>
            </w:r>
          </w:p>
        </w:tc>
      </w:tr>
      <w:tr>
        <w:tc>
          <w:tcPr>
            <w:tcW w:type="dxa" w:w="2232"/>
            <w:vAlign w:val="center"/>
          </w:tcPr>
          <w:p>
            <w:r/>
            <w:r>
              <w:rPr>
                <w:b w:val="0"/>
                <w:sz w:val="16"/>
              </w:rPr>
              <w:t>Seat Service</w:t>
            </w:r>
          </w:p>
        </w:tc>
        <w:tc>
          <w:tcPr>
            <w:tcW w:type="dxa" w:w="7992"/>
            <w:vAlign w:val="center"/>
          </w:tcPr>
          <w:p>
            <w:r/>
            <w:r>
              <w:rPr>
                <w:b w:val="0"/>
                <w:sz w:val="16"/>
              </w:rPr>
              <w:t>Named-seat assignments, included Owner seat, paid seats, role eligibility and seat-capacity contributions.</w:t>
            </w:r>
          </w:p>
        </w:tc>
      </w:tr>
      <w:tr>
        <w:tc>
          <w:tcPr>
            <w:tcW w:type="dxa" w:w="2232"/>
            <w:vAlign w:val="center"/>
          </w:tcPr>
          <w:p>
            <w:r/>
            <w:r>
              <w:rPr>
                <w:b w:val="0"/>
                <w:sz w:val="16"/>
              </w:rPr>
              <w:t>Project/Client Limit Service</w:t>
            </w:r>
          </w:p>
        </w:tc>
        <w:tc>
          <w:tcPr>
            <w:tcW w:type="dxa" w:w="7992"/>
            <w:vAlign w:val="center"/>
          </w:tcPr>
          <w:p>
            <w:r/>
            <w:r>
              <w:rPr>
                <w:b w:val="0"/>
                <w:sz w:val="16"/>
              </w:rPr>
              <w:t>Active Project, archived Project and Agency Client limit enforcement.</w:t>
            </w:r>
          </w:p>
        </w:tc>
      </w:tr>
      <w:tr>
        <w:tc>
          <w:tcPr>
            <w:tcW w:type="dxa" w:w="2232"/>
            <w:vAlign w:val="center"/>
          </w:tcPr>
          <w:p>
            <w:r/>
            <w:r>
              <w:rPr>
                <w:b w:val="0"/>
                <w:sz w:val="16"/>
              </w:rPr>
              <w:t>Capacity Engine</w:t>
            </w:r>
          </w:p>
        </w:tc>
        <w:tc>
          <w:tcPr>
            <w:tcW w:type="dxa" w:w="7992"/>
            <w:vAlign w:val="center"/>
          </w:tcPr>
          <w:p>
            <w:r/>
            <w:r>
              <w:rPr>
                <w:b w:val="0"/>
                <w:sz w:val="16"/>
              </w:rPr>
              <w:t>Estimate, reserve, settle, refund and forecast AI/processing usage.</w:t>
            </w:r>
          </w:p>
        </w:tc>
      </w:tr>
      <w:tr>
        <w:tc>
          <w:tcPr>
            <w:tcW w:type="dxa" w:w="2232"/>
            <w:vAlign w:val="center"/>
          </w:tcPr>
          <w:p>
            <w:r/>
            <w:r>
              <w:rPr>
                <w:b w:val="0"/>
                <w:sz w:val="16"/>
              </w:rPr>
              <w:t>AI Orchestrator</w:t>
            </w:r>
          </w:p>
        </w:tc>
        <w:tc>
          <w:tcPr>
            <w:tcW w:type="dxa" w:w="7992"/>
            <w:vAlign w:val="center"/>
          </w:tcPr>
          <w:p>
            <w:r/>
            <w:r>
              <w:rPr>
                <w:b w:val="0"/>
                <w:sz w:val="16"/>
              </w:rPr>
              <w:t>Routes approved tasks to the least-cost suitable provider/model and reports actual consumption.</w:t>
            </w:r>
          </w:p>
        </w:tc>
      </w:tr>
      <w:tr>
        <w:tc>
          <w:tcPr>
            <w:tcW w:type="dxa" w:w="2232"/>
            <w:vAlign w:val="center"/>
          </w:tcPr>
          <w:p>
            <w:r/>
            <w:r>
              <w:rPr>
                <w:b w:val="0"/>
                <w:sz w:val="16"/>
              </w:rPr>
              <w:t>Billing Event Service</w:t>
            </w:r>
          </w:p>
        </w:tc>
        <w:tc>
          <w:tcPr>
            <w:tcW w:type="dxa" w:w="7992"/>
            <w:vAlign w:val="center"/>
          </w:tcPr>
          <w:p>
            <w:r/>
            <w:r>
              <w:rPr>
                <w:b w:val="0"/>
                <w:sz w:val="16"/>
              </w:rPr>
              <w:t>Normalizes provider webhooks, deduplicates events, applies lifecycle transitions and initiates notifications.</w:t>
            </w:r>
          </w:p>
        </w:tc>
      </w:tr>
      <w:tr>
        <w:tc>
          <w:tcPr>
            <w:tcW w:type="dxa" w:w="2232"/>
            <w:vAlign w:val="center"/>
          </w:tcPr>
          <w:p>
            <w:r/>
            <w:r>
              <w:rPr>
                <w:b w:val="0"/>
                <w:sz w:val="16"/>
              </w:rPr>
              <w:t>Commercial Policy Service</w:t>
            </w:r>
          </w:p>
        </w:tc>
        <w:tc>
          <w:tcPr>
            <w:tcW w:type="dxa" w:w="7992"/>
            <w:vAlign w:val="center"/>
          </w:tcPr>
          <w:p>
            <w:r/>
            <w:r>
              <w:rPr>
                <w:b w:val="0"/>
                <w:sz w:val="16"/>
              </w:rPr>
              <w:t>Grace period, retention, fair usage, reactivation and founding-price rules.</w:t>
            </w:r>
          </w:p>
        </w:tc>
      </w:tr>
      <w:tr>
        <w:tc>
          <w:tcPr>
            <w:tcW w:type="dxa" w:w="2232"/>
            <w:vAlign w:val="center"/>
          </w:tcPr>
          <w:p>
            <w:r/>
            <w:r>
              <w:rPr>
                <w:b w:val="0"/>
                <w:sz w:val="16"/>
              </w:rPr>
              <w:t>Admin Billing Service</w:t>
            </w:r>
          </w:p>
        </w:tc>
        <w:tc>
          <w:tcPr>
            <w:tcW w:type="dxa" w:w="7992"/>
            <w:vAlign w:val="center"/>
          </w:tcPr>
          <w:p>
            <w:r/>
            <w:r>
              <w:rPr>
                <w:b w:val="0"/>
                <w:sz w:val="16"/>
              </w:rPr>
              <w:t>Controlled adjustments, courtesy capacity, plan correction, suspension, reactivation and event replay.</w:t>
            </w:r>
          </w:p>
        </w:tc>
      </w:tr>
      <w:tr>
        <w:tc>
          <w:tcPr>
            <w:tcW w:type="dxa" w:w="2232"/>
            <w:vAlign w:val="center"/>
          </w:tcPr>
          <w:p>
            <w:r/>
            <w:r>
              <w:rPr>
                <w:b w:val="0"/>
                <w:sz w:val="16"/>
              </w:rPr>
              <w:t>Commercial Audit Service</w:t>
            </w:r>
          </w:p>
        </w:tc>
        <w:tc>
          <w:tcPr>
            <w:tcW w:type="dxa" w:w="7992"/>
            <w:vAlign w:val="center"/>
          </w:tcPr>
          <w:p>
            <w:r/>
            <w:r>
              <w:rPr>
                <w:b w:val="0"/>
                <w:sz w:val="16"/>
              </w:rPr>
              <w:t>Immutable audit trail for revenue-impacting and access-impacting actions.</w:t>
            </w:r>
          </w:p>
        </w:tc>
      </w:tr>
    </w:tbl>
    <w:p/>
    <w:p>
      <w:pPr>
        <w:pStyle w:val="Heading1"/>
      </w:pPr>
      <w:r>
        <w:t>4. Workspace-First Licensing Model</w:t>
      </w:r>
    </w:p>
    <w:p>
      <w:pPr>
        <w:pStyle w:val="ListBullet"/>
      </w:pPr>
      <w:r>
        <w:t>Every billable subscription has exactly one workspaceId.</w:t>
      </w:r>
    </w:p>
    <w:p>
      <w:pPr>
        <w:pStyle w:val="ListBullet"/>
      </w:pPr>
      <w:r>
        <w:t>A workspace may have at most one active base subscription at a time, plus zero or more active add-on subscriptions/entitlements.</w:t>
      </w:r>
    </w:p>
    <w:p>
      <w:pPr>
        <w:pStyle w:val="ListBullet"/>
      </w:pPr>
      <w:r>
        <w:t>Users receive access through WorkspaceMembership records; purchasing personally does not grant access outside the subscribed workspace.</w:t>
      </w:r>
    </w:p>
    <w:p>
      <w:pPr>
        <w:pStyle w:val="ListBullet"/>
      </w:pPr>
      <w:r>
        <w:t>Workspace switching must recalculate permissions, plan entitlements and capacity balance for the selected workspace.</w:t>
      </w:r>
    </w:p>
    <w:p>
      <w:pPr>
        <w:pStyle w:val="ListBullet"/>
      </w:pPr>
      <w:r>
        <w:t>Workspace ownership transfer does not move or reset the subscription; it changes the Owner membership after verification and audit.</w:t>
      </w:r>
    </w:p>
    <w:p>
      <w:pPr>
        <w:pStyle w:val="ListBullet"/>
      </w:pPr>
      <w:r>
        <w:t>An Agency workspace owns Agency Clients; every Agency Project must have agencyClientId. A non-Agency workspace cannot create Agency Clients.</w:t>
      </w:r>
    </w:p>
    <w:p>
      <w:pPr>
        <w:pStyle w:val="ListBullet"/>
      </w:pPr>
      <w:r>
        <w:t>Client archival archives or blocks its projects according to agency rules but does not reduce historical usage or erase audit records.</w:t>
      </w:r>
    </w:p>
    <w:p>
      <w:pPr>
        <w:pStyle w:val="Heading1"/>
      </w:pPr>
      <w:r>
        <w:t>5. Commercial Catalogue and Versioning</w:t>
      </w:r>
    </w:p>
    <w:tbl>
      <w:tblPr>
        <w:tblStyle w:val="TableGrid"/>
        <w:tblW w:type="auto" w:w="0"/>
        <w:jc w:val="center"/>
        <w:tblLook w:firstColumn="1" w:firstRow="1" w:lastColumn="0" w:lastRow="0" w:noHBand="0" w:noVBand="1" w:val="04A0"/>
      </w:tblPr>
      <w:tblGrid>
        <w:gridCol w:w="5083"/>
        <w:gridCol w:w="5083"/>
      </w:tblGrid>
      <w:tr>
        <w:tc>
          <w:tcPr>
            <w:tcW w:type="dxa" w:w="1872"/>
            <w:shd w:fill="17365D"/>
            <w:vAlign w:val="center"/>
          </w:tcPr>
          <w:p>
            <w:r/>
            <w:r>
              <w:rPr>
                <w:b/>
                <w:color w:val="FFFFFF"/>
                <w:sz w:val="16"/>
              </w:rPr>
              <w:t>Entity</w:t>
            </w:r>
          </w:p>
        </w:tc>
        <w:tc>
          <w:tcPr>
            <w:tcW w:type="dxa" w:w="8424"/>
            <w:shd w:fill="17365D"/>
            <w:vAlign w:val="center"/>
          </w:tcPr>
          <w:p>
            <w:r/>
            <w:r>
              <w:rPr>
                <w:b/>
                <w:color w:val="FFFFFF"/>
                <w:sz w:val="16"/>
              </w:rPr>
              <w:t>Key Fields</w:t>
            </w:r>
          </w:p>
        </w:tc>
      </w:tr>
      <w:tr>
        <w:tc>
          <w:tcPr>
            <w:tcW w:type="dxa" w:w="1872"/>
            <w:vAlign w:val="center"/>
          </w:tcPr>
          <w:p>
            <w:r/>
            <w:r>
              <w:rPr>
                <w:b w:val="0"/>
                <w:sz w:val="16"/>
              </w:rPr>
              <w:t>Plan</w:t>
            </w:r>
          </w:p>
        </w:tc>
        <w:tc>
          <w:tcPr>
            <w:tcW w:type="dxa" w:w="8424"/>
            <w:vAlign w:val="center"/>
          </w:tcPr>
          <w:p>
            <w:r/>
            <w:r>
              <w:rPr>
                <w:b w:val="0"/>
                <w:sz w:val="16"/>
              </w:rPr>
              <w:t>id, code, name, workspaceTypeEligibility, lifecycleStatus</w:t>
            </w:r>
          </w:p>
        </w:tc>
      </w:tr>
      <w:tr>
        <w:tc>
          <w:tcPr>
            <w:tcW w:type="dxa" w:w="1872"/>
            <w:vAlign w:val="center"/>
          </w:tcPr>
          <w:p>
            <w:r/>
            <w:r>
              <w:rPr>
                <w:b w:val="0"/>
                <w:sz w:val="16"/>
              </w:rPr>
              <w:t>PlanVersion</w:t>
            </w:r>
          </w:p>
        </w:tc>
        <w:tc>
          <w:tcPr>
            <w:tcW w:type="dxa" w:w="8424"/>
            <w:vAlign w:val="center"/>
          </w:tcPr>
          <w:p>
            <w:r/>
            <w:r>
              <w:rPr>
                <w:b w:val="0"/>
                <w:sz w:val="16"/>
              </w:rPr>
              <w:t>id, planId, version, effectiveFrom, effectiveTo, featureEntitlements, numericLimits, policyVersionId</w:t>
            </w:r>
          </w:p>
        </w:tc>
      </w:tr>
      <w:tr>
        <w:tc>
          <w:tcPr>
            <w:tcW w:type="dxa" w:w="1872"/>
            <w:vAlign w:val="center"/>
          </w:tcPr>
          <w:p>
            <w:r/>
            <w:r>
              <w:rPr>
                <w:b w:val="0"/>
                <w:sz w:val="16"/>
              </w:rPr>
              <w:t>Price</w:t>
            </w:r>
          </w:p>
        </w:tc>
        <w:tc>
          <w:tcPr>
            <w:tcW w:type="dxa" w:w="8424"/>
            <w:vAlign w:val="center"/>
          </w:tcPr>
          <w:p>
            <w:r/>
            <w:r>
              <w:rPr>
                <w:b w:val="0"/>
                <w:sz w:val="16"/>
              </w:rPr>
              <w:t>id, planVersionId, billingInterval, currency, amount, market, priceClass (FOUNDING/STANDARD/INTERIM/LEGACY), providerPriceRefs</w:t>
            </w:r>
          </w:p>
        </w:tc>
      </w:tr>
      <w:tr>
        <w:tc>
          <w:tcPr>
            <w:tcW w:type="dxa" w:w="1872"/>
            <w:vAlign w:val="center"/>
          </w:tcPr>
          <w:p>
            <w:r/>
            <w:r>
              <w:rPr>
                <w:b w:val="0"/>
                <w:sz w:val="16"/>
              </w:rPr>
              <w:t>AddOn</w:t>
            </w:r>
          </w:p>
        </w:tc>
        <w:tc>
          <w:tcPr>
            <w:tcW w:type="dxa" w:w="8424"/>
            <w:vAlign w:val="center"/>
          </w:tcPr>
          <w:p>
            <w:r/>
            <w:r>
              <w:rPr>
                <w:b w:val="0"/>
                <w:sz w:val="16"/>
              </w:rPr>
              <w:t>id, code, type (SEAT/CAPACITY_BOOST/etc.), eligibilityRules</w:t>
            </w:r>
          </w:p>
        </w:tc>
      </w:tr>
      <w:tr>
        <w:tc>
          <w:tcPr>
            <w:tcW w:type="dxa" w:w="1872"/>
            <w:vAlign w:val="center"/>
          </w:tcPr>
          <w:p>
            <w:r/>
            <w:r>
              <w:rPr>
                <w:b w:val="0"/>
                <w:sz w:val="16"/>
              </w:rPr>
              <w:t>AddOnPrice</w:t>
            </w:r>
          </w:p>
        </w:tc>
        <w:tc>
          <w:tcPr>
            <w:tcW w:type="dxa" w:w="8424"/>
            <w:vAlign w:val="center"/>
          </w:tcPr>
          <w:p>
            <w:r/>
            <w:r>
              <w:rPr>
                <w:b w:val="0"/>
                <w:sz w:val="16"/>
              </w:rPr>
              <w:t>id, addOnId, interval/oneTime, currency, amount, providerPriceRefs</w:t>
            </w:r>
          </w:p>
        </w:tc>
      </w:tr>
      <w:tr>
        <w:tc>
          <w:tcPr>
            <w:tcW w:type="dxa" w:w="1872"/>
            <w:vAlign w:val="center"/>
          </w:tcPr>
          <w:p>
            <w:r/>
            <w:r>
              <w:rPr>
                <w:b w:val="0"/>
                <w:sz w:val="16"/>
              </w:rPr>
              <w:t>PolicyVersion</w:t>
            </w:r>
          </w:p>
        </w:tc>
        <w:tc>
          <w:tcPr>
            <w:tcW w:type="dxa" w:w="8424"/>
            <w:vAlign w:val="center"/>
          </w:tcPr>
          <w:p>
            <w:r/>
            <w:r>
              <w:rPr>
                <w:b w:val="0"/>
                <w:sz w:val="16"/>
              </w:rPr>
              <w:t>id, graceDays, retentionDays, deletionRules, capacityExpiryRules, fairUsageRules, reactivationRules</w:t>
            </w:r>
          </w:p>
        </w:tc>
      </w:tr>
      <w:tr>
        <w:tc>
          <w:tcPr>
            <w:tcW w:type="dxa" w:w="1872"/>
            <w:vAlign w:val="center"/>
          </w:tcPr>
          <w:p>
            <w:r/>
            <w:r>
              <w:rPr>
                <w:b w:val="0"/>
                <w:sz w:val="16"/>
              </w:rPr>
              <w:t>CommercialCampaign</w:t>
            </w:r>
          </w:p>
        </w:tc>
        <w:tc>
          <w:tcPr>
            <w:tcW w:type="dxa" w:w="8424"/>
            <w:vAlign w:val="center"/>
          </w:tcPr>
          <w:p>
            <w:r/>
            <w:r>
              <w:rPr>
                <w:b w:val="0"/>
                <w:sz w:val="16"/>
              </w:rPr>
              <w:t>id, code, startAt, endAt, eligibility, qualifyingPriceIds, status</w:t>
            </w:r>
          </w:p>
        </w:tc>
      </w:tr>
    </w:tbl>
    <w:p/>
    <w:p>
      <w:r>
        <w:t>The application must use catalogue IDs and effective-dated versions. Display labels such as “Starter” are not authorization logic. A plan can evolve without rewriting historical subscriptions.</w:t>
      </w:r>
    </w:p>
    <w:p>
      <w:pPr>
        <w:pStyle w:val="Heading1"/>
      </w:pPr>
      <w:r>
        <w:t>6. Plan Entitlement Implementation</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7365D"/>
            <w:vAlign w:val="center"/>
          </w:tcPr>
          <w:p>
            <w:r/>
            <w:r>
              <w:rPr>
                <w:b/>
                <w:color w:val="FFFFFF"/>
                <w:sz w:val="16"/>
              </w:rPr>
              <w:t>Entitlement Category</w:t>
            </w:r>
          </w:p>
        </w:tc>
        <w:tc>
          <w:tcPr>
            <w:tcW w:type="dxa" w:w="3600"/>
            <w:shd w:fill="17365D"/>
            <w:vAlign w:val="center"/>
          </w:tcPr>
          <w:p>
            <w:r/>
            <w:r>
              <w:rPr>
                <w:b/>
                <w:color w:val="FFFFFF"/>
                <w:sz w:val="16"/>
              </w:rPr>
              <w:t>Examples</w:t>
            </w:r>
          </w:p>
        </w:tc>
        <w:tc>
          <w:tcPr>
            <w:tcW w:type="dxa" w:w="4752"/>
            <w:shd w:fill="17365D"/>
            <w:vAlign w:val="center"/>
          </w:tcPr>
          <w:p>
            <w:r/>
            <w:r>
              <w:rPr>
                <w:b/>
                <w:color w:val="FFFFFF"/>
                <w:sz w:val="16"/>
              </w:rPr>
              <w:t>Resolution Rule</w:t>
            </w:r>
          </w:p>
        </w:tc>
      </w:tr>
      <w:tr>
        <w:tc>
          <w:tcPr>
            <w:tcW w:type="dxa" w:w="1944"/>
            <w:vAlign w:val="center"/>
          </w:tcPr>
          <w:p>
            <w:r/>
            <w:r>
              <w:rPr>
                <w:b w:val="0"/>
                <w:sz w:val="16"/>
              </w:rPr>
              <w:t>Boolean feature</w:t>
            </w:r>
          </w:p>
        </w:tc>
        <w:tc>
          <w:tcPr>
            <w:tcW w:type="dxa" w:w="3600"/>
            <w:vAlign w:val="center"/>
          </w:tcPr>
          <w:p>
            <w:r/>
            <w:r>
              <w:rPr>
                <w:b w:val="0"/>
                <w:sz w:val="16"/>
              </w:rPr>
              <w:t>Agency Clients, white-label reports, advanced approvals</w:t>
            </w:r>
          </w:p>
        </w:tc>
        <w:tc>
          <w:tcPr>
            <w:tcW w:type="dxa" w:w="4752"/>
            <w:vAlign w:val="center"/>
          </w:tcPr>
          <w:p>
            <w:r/>
            <w:r>
              <w:rPr>
                <w:b w:val="0"/>
                <w:sz w:val="16"/>
              </w:rPr>
              <w:t>Effective value comes from PlanVersion plus explicit overrides.</w:t>
            </w:r>
          </w:p>
        </w:tc>
      </w:tr>
      <w:tr>
        <w:tc>
          <w:tcPr>
            <w:tcW w:type="dxa" w:w="1944"/>
            <w:vAlign w:val="center"/>
          </w:tcPr>
          <w:p>
            <w:r/>
            <w:r>
              <w:rPr>
                <w:b w:val="0"/>
                <w:sz w:val="16"/>
              </w:rPr>
              <w:t>Numeric limit</w:t>
            </w:r>
          </w:p>
        </w:tc>
        <w:tc>
          <w:tcPr>
            <w:tcW w:type="dxa" w:w="3600"/>
            <w:vAlign w:val="center"/>
          </w:tcPr>
          <w:p>
            <w:r/>
            <w:r>
              <w:rPr>
                <w:b w:val="0"/>
                <w:sz w:val="16"/>
              </w:rPr>
              <w:t>Active Projects, Agency Clients, included seats</w:t>
            </w:r>
          </w:p>
        </w:tc>
        <w:tc>
          <w:tcPr>
            <w:tcW w:type="dxa" w:w="4752"/>
            <w:vAlign w:val="center"/>
          </w:tcPr>
          <w:p>
            <w:r/>
            <w:r>
              <w:rPr>
                <w:b w:val="0"/>
                <w:sz w:val="16"/>
              </w:rPr>
              <w:t>Base limit + paid add-on contribution + approved admin override.</w:t>
            </w:r>
          </w:p>
        </w:tc>
      </w:tr>
      <w:tr>
        <w:tc>
          <w:tcPr>
            <w:tcW w:type="dxa" w:w="1944"/>
            <w:vAlign w:val="center"/>
          </w:tcPr>
          <w:p>
            <w:r/>
            <w:r>
              <w:rPr>
                <w:b w:val="0"/>
                <w:sz w:val="16"/>
              </w:rPr>
              <w:t>Metered allowance</w:t>
            </w:r>
          </w:p>
        </w:tc>
        <w:tc>
          <w:tcPr>
            <w:tcW w:type="dxa" w:w="3600"/>
            <w:vAlign w:val="center"/>
          </w:tcPr>
          <w:p>
            <w:r/>
            <w:r>
              <w:rPr>
                <w:b w:val="0"/>
                <w:sz w:val="16"/>
              </w:rPr>
              <w:t>AI Capacity</w:t>
            </w:r>
          </w:p>
        </w:tc>
        <w:tc>
          <w:tcPr>
            <w:tcW w:type="dxa" w:w="4752"/>
            <w:vAlign w:val="center"/>
          </w:tcPr>
          <w:p>
            <w:r/>
            <w:r>
              <w:rPr>
                <w:b w:val="0"/>
                <w:sz w:val="16"/>
              </w:rPr>
              <w:t>Monthly grant + seat contribution + purchased boosts + adjustments - settled usage.</w:t>
            </w:r>
          </w:p>
        </w:tc>
      </w:tr>
      <w:tr>
        <w:tc>
          <w:tcPr>
            <w:tcW w:type="dxa" w:w="1944"/>
            <w:vAlign w:val="center"/>
          </w:tcPr>
          <w:p>
            <w:r/>
            <w:r>
              <w:rPr>
                <w:b w:val="0"/>
                <w:sz w:val="16"/>
              </w:rPr>
              <w:t>Role capability</w:t>
            </w:r>
          </w:p>
        </w:tc>
        <w:tc>
          <w:tcPr>
            <w:tcW w:type="dxa" w:w="3600"/>
            <w:vAlign w:val="center"/>
          </w:tcPr>
          <w:p>
            <w:r/>
            <w:r>
              <w:rPr>
                <w:b w:val="0"/>
                <w:sz w:val="16"/>
              </w:rPr>
              <w:t>Client Viewer, Manager/Approver, Editor</w:t>
            </w:r>
          </w:p>
        </w:tc>
        <w:tc>
          <w:tcPr>
            <w:tcW w:type="dxa" w:w="4752"/>
            <w:vAlign w:val="center"/>
          </w:tcPr>
          <w:p>
            <w:r/>
            <w:r>
              <w:rPr>
                <w:b w:val="0"/>
                <w:sz w:val="16"/>
              </w:rPr>
              <w:t>Intersection of platform permission and plan entitlement.</w:t>
            </w:r>
          </w:p>
        </w:tc>
      </w:tr>
      <w:tr>
        <w:tc>
          <w:tcPr>
            <w:tcW w:type="dxa" w:w="1944"/>
            <w:vAlign w:val="center"/>
          </w:tcPr>
          <w:p>
            <w:r/>
            <w:r>
              <w:rPr>
                <w:b w:val="0"/>
                <w:sz w:val="16"/>
              </w:rPr>
              <w:t>Integration access</w:t>
            </w:r>
          </w:p>
        </w:tc>
        <w:tc>
          <w:tcPr>
            <w:tcW w:type="dxa" w:w="3600"/>
            <w:vAlign w:val="center"/>
          </w:tcPr>
          <w:p>
            <w:r/>
            <w:r>
              <w:rPr>
                <w:b w:val="0"/>
                <w:sz w:val="16"/>
              </w:rPr>
              <w:t>Publishing, analytics, premium integrations</w:t>
            </w:r>
          </w:p>
        </w:tc>
        <w:tc>
          <w:tcPr>
            <w:tcW w:type="dxa" w:w="4752"/>
            <w:vAlign w:val="center"/>
          </w:tcPr>
          <w:p>
            <w:r/>
            <w:r>
              <w:rPr>
                <w:b w:val="0"/>
                <w:sz w:val="16"/>
              </w:rPr>
              <w:t>Entitlement checked at connection and execution time.</w:t>
            </w:r>
          </w:p>
        </w:tc>
      </w:tr>
    </w:tbl>
    <w:p/>
    <w:p>
      <w:pPr>
        <w:pStyle w:val="Heading1"/>
      </w:pPr>
      <w:r>
        <w:t>7. Active Projects and Archived Projects</w:t>
      </w:r>
    </w:p>
    <w:p>
      <w:pPr>
        <w:pStyle w:val="ListBullet"/>
      </w:pPr>
      <w:r>
        <w:t>Only projects in an ACTIVE-equivalent state consume the Active Project limit.</w:t>
      </w:r>
    </w:p>
    <w:p>
      <w:pPr>
        <w:pStyle w:val="ListBullet"/>
      </w:pPr>
      <w:r>
        <w:t>ARCHIVED projects remain stored, searchable and reportable but cannot run new AI jobs, publishing jobs, scheduled jobs, rank tracking or automation unless restored.</w:t>
      </w:r>
    </w:p>
    <w:p>
      <w:pPr>
        <w:pStyle w:val="ListBullet"/>
      </w:pPr>
      <w:r>
        <w:t>Archiving a project releases one Active Project slot only after the archive transaction commits.</w:t>
      </w:r>
    </w:p>
    <w:p>
      <w:pPr>
        <w:pStyle w:val="ListBullet"/>
      </w:pPr>
      <w:r>
        <w:t>Restoring requires an available Active Project entitlement; otherwise the UI must offer archive another project or upgrade.</w:t>
      </w:r>
    </w:p>
    <w:p>
      <w:pPr>
        <w:pStyle w:val="ListBullet"/>
      </w:pPr>
      <w:r>
        <w:t>Archiving never restores previously consumed capacity.</w:t>
      </w:r>
    </w:p>
    <w:p>
      <w:pPr>
        <w:pStyle w:val="ListBullet"/>
      </w:pPr>
      <w:r>
        <w:t>Downgrade below the current active-project count does not auto-delete or auto-archive. Existing projects become over-limit; the workspace must select projects to archive before creating/reactivating more. Existing active projects may remain readable, but new expensive execution can be restricted according to the downgrade policy.</w:t>
      </w:r>
    </w:p>
    <w:p>
      <w:pPr>
        <w:pStyle w:val="ListBullet"/>
      </w:pPr>
      <w:r>
        <w:t>Permanent project deletion follows the separate data-deletion workflow and does not alter financial records.</w:t>
      </w:r>
    </w:p>
    <w:p>
      <w:pPr>
        <w:pStyle w:val="Heading1"/>
      </w:pPr>
      <w:r>
        <w:t>8. Agency Client Implementation</w:t>
      </w:r>
    </w:p>
    <w:p>
      <w:pPr>
        <w:pStyle w:val="ListBullet"/>
      </w:pPr>
      <w:r>
        <w:t>Agency Client is an entity owned by an Agency workspace and is not itself a paid workspace unless later converted through an approved migration.</w:t>
      </w:r>
    </w:p>
    <w:p>
      <w:pPr>
        <w:pStyle w:val="ListBullet"/>
      </w:pPr>
      <w:r>
        <w:t>Every Agency Project must reference one active or archived Agency Client.</w:t>
      </w:r>
    </w:p>
    <w:p>
      <w:pPr>
        <w:pStyle w:val="ListBullet"/>
      </w:pPr>
      <w:r>
        <w:t>Client limit checks occur before client creation and client reactivation.</w:t>
      </w:r>
    </w:p>
    <w:p>
      <w:pPr>
        <w:pStyle w:val="ListBullet"/>
      </w:pPr>
      <w:r>
        <w:t>Archived clients do not consume the active-client limit and their projects are non-executable.</w:t>
      </w:r>
    </w:p>
    <w:p>
      <w:pPr>
        <w:pStyle w:val="ListBullet"/>
      </w:pPr>
      <w:r>
        <w:t>Client Viewer memberships may be scoped to one or more Agency Clients and their projects only.</w:t>
      </w:r>
    </w:p>
    <w:p>
      <w:pPr>
        <w:pStyle w:val="ListBullet"/>
      </w:pPr>
      <w:r>
        <w:t>No cross-client data, capacity allocation, approvals or reports may be exposed without explicit membership scope.</w:t>
      </w:r>
    </w:p>
    <w:p>
      <w:pPr>
        <w:pStyle w:val="Heading1"/>
      </w:pPr>
      <w:r>
        <w:t>9. Seats and Seat Entitlements</w:t>
      </w:r>
    </w:p>
    <w:tbl>
      <w:tblPr>
        <w:tblStyle w:val="TableGrid"/>
        <w:tblW w:type="auto" w:w="0"/>
        <w:jc w:val="center"/>
        <w:tblLook w:firstColumn="1" w:firstRow="1" w:lastColumn="0" w:lastRow="0" w:noHBand="0" w:noVBand="1" w:val="04A0"/>
      </w:tblPr>
      <w:tblGrid>
        <w:gridCol w:w="5083"/>
        <w:gridCol w:w="5083"/>
      </w:tblGrid>
      <w:tr>
        <w:tc>
          <w:tcPr>
            <w:tcW w:type="dxa" w:w="2088"/>
            <w:shd w:fill="17365D"/>
            <w:vAlign w:val="center"/>
          </w:tcPr>
          <w:p>
            <w:r/>
            <w:r>
              <w:rPr>
                <w:b/>
                <w:color w:val="FFFFFF"/>
                <w:sz w:val="16"/>
              </w:rPr>
              <w:t>Rule</w:t>
            </w:r>
          </w:p>
        </w:tc>
        <w:tc>
          <w:tcPr>
            <w:tcW w:type="dxa" w:w="8208"/>
            <w:shd w:fill="17365D"/>
            <w:vAlign w:val="center"/>
          </w:tcPr>
          <w:p>
            <w:r/>
            <w:r>
              <w:rPr>
                <w:b/>
                <w:color w:val="FFFFFF"/>
                <w:sz w:val="16"/>
              </w:rPr>
              <w:t>Implementation</w:t>
            </w:r>
          </w:p>
        </w:tc>
      </w:tr>
      <w:tr>
        <w:tc>
          <w:tcPr>
            <w:tcW w:type="dxa" w:w="2088"/>
            <w:vAlign w:val="center"/>
          </w:tcPr>
          <w:p>
            <w:r/>
            <w:r>
              <w:rPr>
                <w:b w:val="0"/>
                <w:sz w:val="16"/>
              </w:rPr>
              <w:t>Included seat</w:t>
            </w:r>
          </w:p>
        </w:tc>
        <w:tc>
          <w:tcPr>
            <w:tcW w:type="dxa" w:w="8208"/>
            <w:vAlign w:val="center"/>
          </w:tcPr>
          <w:p>
            <w:r/>
            <w:r>
              <w:rPr>
                <w:b w:val="0"/>
                <w:sz w:val="16"/>
              </w:rPr>
              <w:t>Each workspace has one included Owner seat. It is not removable while the workspace exists.</w:t>
            </w:r>
          </w:p>
        </w:tc>
      </w:tr>
      <w:tr>
        <w:tc>
          <w:tcPr>
            <w:tcW w:type="dxa" w:w="2088"/>
            <w:vAlign w:val="center"/>
          </w:tcPr>
          <w:p>
            <w:r/>
            <w:r>
              <w:rPr>
                <w:b w:val="0"/>
                <w:sz w:val="16"/>
              </w:rPr>
              <w:t>Additional seats</w:t>
            </w:r>
          </w:p>
        </w:tc>
        <w:tc>
          <w:tcPr>
            <w:tcW w:type="dxa" w:w="8208"/>
            <w:vAlign w:val="center"/>
          </w:tcPr>
          <w:p>
            <w:r/>
            <w:r>
              <w:rPr>
                <w:b w:val="0"/>
                <w:sz w:val="16"/>
              </w:rPr>
              <w:t>Purchased as named-seat add-ons; seat quantity is synchronized with paid entitlement quantity.</w:t>
            </w:r>
          </w:p>
        </w:tc>
      </w:tr>
      <w:tr>
        <w:tc>
          <w:tcPr>
            <w:tcW w:type="dxa" w:w="2088"/>
            <w:vAlign w:val="center"/>
          </w:tcPr>
          <w:p>
            <w:r/>
            <w:r>
              <w:rPr>
                <w:b w:val="0"/>
                <w:sz w:val="16"/>
              </w:rPr>
              <w:t>Named use</w:t>
            </w:r>
          </w:p>
        </w:tc>
        <w:tc>
          <w:tcPr>
            <w:tcW w:type="dxa" w:w="8208"/>
            <w:vAlign w:val="center"/>
          </w:tcPr>
          <w:p>
            <w:r/>
            <w:r>
              <w:rPr>
                <w:b w:val="0"/>
                <w:sz w:val="16"/>
              </w:rPr>
              <w:t>A paid seat is assigned to one active human membership at a time. Account sharing is prohibited; multi-device use by the same person is allowed.</w:t>
            </w:r>
          </w:p>
        </w:tc>
      </w:tr>
      <w:tr>
        <w:tc>
          <w:tcPr>
            <w:tcW w:type="dxa" w:w="2088"/>
            <w:vAlign w:val="center"/>
          </w:tcPr>
          <w:p>
            <w:r/>
            <w:r>
              <w:rPr>
                <w:b w:val="0"/>
                <w:sz w:val="16"/>
              </w:rPr>
              <w:t>Role eligibility</w:t>
            </w:r>
          </w:p>
        </w:tc>
        <w:tc>
          <w:tcPr>
            <w:tcW w:type="dxa" w:w="8208"/>
            <w:vAlign w:val="center"/>
          </w:tcPr>
          <w:p>
            <w:r/>
            <w:r>
              <w:rPr>
                <w:b w:val="0"/>
                <w:sz w:val="16"/>
              </w:rPr>
              <w:t>Owner/Admin, Manager/Approver, Editor and Viewer may require an internal seat according to PlanVersion rules. Client Viewer normally does not consume a paid internal seat.</w:t>
            </w:r>
          </w:p>
        </w:tc>
      </w:tr>
      <w:tr>
        <w:tc>
          <w:tcPr>
            <w:tcW w:type="dxa" w:w="2088"/>
            <w:vAlign w:val="center"/>
          </w:tcPr>
          <w:p>
            <w:r/>
            <w:r>
              <w:rPr>
                <w:b w:val="0"/>
                <w:sz w:val="16"/>
              </w:rPr>
              <w:t>Seat capacity contribution</w:t>
            </w:r>
          </w:p>
        </w:tc>
        <w:tc>
          <w:tcPr>
            <w:tcW w:type="dxa" w:w="8208"/>
            <w:vAlign w:val="center"/>
          </w:tcPr>
          <w:p>
            <w:r/>
            <w:r>
              <w:rPr>
                <w:b w:val="0"/>
                <w:sz w:val="16"/>
              </w:rPr>
              <w:t>Each eligible paid seat may add a modest configured AI Capacity amount to the shared workspace pool; it does not duplicate the full base allowance.</w:t>
            </w:r>
          </w:p>
        </w:tc>
      </w:tr>
      <w:tr>
        <w:tc>
          <w:tcPr>
            <w:tcW w:type="dxa" w:w="2088"/>
            <w:vAlign w:val="center"/>
          </w:tcPr>
          <w:p>
            <w:r/>
            <w:r>
              <w:rPr>
                <w:b w:val="0"/>
                <w:sz w:val="16"/>
              </w:rPr>
              <w:t>Legacy complimentary seat</w:t>
            </w:r>
          </w:p>
        </w:tc>
        <w:tc>
          <w:tcPr>
            <w:tcW w:type="dxa" w:w="8208"/>
            <w:vAlign w:val="center"/>
          </w:tcPr>
          <w:p>
            <w:r/>
            <w:r>
              <w:rPr>
                <w:b w:val="0"/>
                <w:sz w:val="16"/>
              </w:rPr>
              <w:t>Verified eligible legacy lifetime purchasers may receive one complimentary additional-seat entitlement when activating a qualifying paid Founding subscription.</w:t>
            </w:r>
          </w:p>
        </w:tc>
      </w:tr>
      <w:tr>
        <w:tc>
          <w:tcPr>
            <w:tcW w:type="dxa" w:w="2088"/>
            <w:vAlign w:val="center"/>
          </w:tcPr>
          <w:p>
            <w:r/>
            <w:r>
              <w:rPr>
                <w:b w:val="0"/>
                <w:sz w:val="16"/>
              </w:rPr>
              <w:t>Seat reduction</w:t>
            </w:r>
          </w:p>
        </w:tc>
        <w:tc>
          <w:tcPr>
            <w:tcW w:type="dxa" w:w="8208"/>
            <w:vAlign w:val="center"/>
          </w:tcPr>
          <w:p>
            <w:r/>
            <w:r>
              <w:rPr>
                <w:b w:val="0"/>
                <w:sz w:val="16"/>
              </w:rPr>
              <w:t>On paid quantity reduction, assignments above entitlement become PENDING_REMOVAL at period end. Owner must select removals; otherwise least-privileged/unaccepted or latest-added eligible assignments are disabled by deterministic policy.</w:t>
            </w:r>
          </w:p>
        </w:tc>
      </w:tr>
      <w:tr>
        <w:tc>
          <w:tcPr>
            <w:tcW w:type="dxa" w:w="2088"/>
            <w:vAlign w:val="center"/>
          </w:tcPr>
          <w:p>
            <w:r/>
            <w:r>
              <w:rPr>
                <w:b w:val="0"/>
                <w:sz w:val="16"/>
              </w:rPr>
              <w:t>Seat transfer</w:t>
            </w:r>
          </w:p>
        </w:tc>
        <w:tc>
          <w:tcPr>
            <w:tcW w:type="dxa" w:w="8208"/>
            <w:vAlign w:val="center"/>
          </w:tcPr>
          <w:p>
            <w:r/>
            <w:r>
              <w:rPr>
                <w:b w:val="0"/>
                <w:sz w:val="16"/>
              </w:rPr>
              <w:t>Reassignment is allowed with anti-abuse cooldown/configuration and audit logging.</w:t>
            </w:r>
          </w:p>
        </w:tc>
      </w:tr>
    </w:tbl>
    <w:p/>
    <w:p>
      <w:pPr>
        <w:pStyle w:val="Heading1"/>
      </w:pPr>
      <w:r>
        <w:t>10. Permission Requirements</w:t>
      </w:r>
    </w:p>
    <w:tbl>
      <w:tblPr>
        <w:tblStyle w:val="TableGrid"/>
        <w:tblW w:type="auto" w:w="0"/>
        <w:jc w:val="center"/>
        <w:tblLook w:firstColumn="1" w:firstRow="1" w:lastColumn="0" w:lastRow="0" w:noHBand="0" w:noVBand="1" w:val="04A0"/>
      </w:tblPr>
      <w:tblGrid>
        <w:gridCol w:w="5083"/>
        <w:gridCol w:w="5083"/>
      </w:tblGrid>
      <w:tr>
        <w:tc>
          <w:tcPr>
            <w:tcW w:type="dxa" w:w="3528"/>
            <w:shd w:fill="17365D"/>
            <w:vAlign w:val="center"/>
          </w:tcPr>
          <w:p>
            <w:r/>
            <w:r>
              <w:rPr>
                <w:b/>
                <w:color w:val="FFFFFF"/>
                <w:sz w:val="16"/>
              </w:rPr>
              <w:t>Action</w:t>
            </w:r>
          </w:p>
        </w:tc>
        <w:tc>
          <w:tcPr>
            <w:tcW w:type="dxa" w:w="6768"/>
            <w:shd w:fill="17365D"/>
            <w:vAlign w:val="center"/>
          </w:tcPr>
          <w:p>
            <w:r/>
            <w:r>
              <w:rPr>
                <w:b/>
                <w:color w:val="FFFFFF"/>
                <w:sz w:val="16"/>
              </w:rPr>
              <w:t>Minimum Permission</w:t>
            </w:r>
          </w:p>
        </w:tc>
      </w:tr>
      <w:tr>
        <w:tc>
          <w:tcPr>
            <w:tcW w:type="dxa" w:w="3528"/>
            <w:vAlign w:val="center"/>
          </w:tcPr>
          <w:p>
            <w:r/>
            <w:r>
              <w:rPr>
                <w:b w:val="0"/>
                <w:sz w:val="16"/>
              </w:rPr>
              <w:t>View billing and invoices</w:t>
            </w:r>
          </w:p>
        </w:tc>
        <w:tc>
          <w:tcPr>
            <w:tcW w:type="dxa" w:w="6768"/>
            <w:vAlign w:val="center"/>
          </w:tcPr>
          <w:p>
            <w:r/>
            <w:r>
              <w:rPr>
                <w:b w:val="0"/>
                <w:sz w:val="16"/>
              </w:rPr>
              <w:t>Owner/Admin or BILLING_VIEW</w:t>
            </w:r>
          </w:p>
        </w:tc>
      </w:tr>
      <w:tr>
        <w:tc>
          <w:tcPr>
            <w:tcW w:type="dxa" w:w="3528"/>
            <w:vAlign w:val="center"/>
          </w:tcPr>
          <w:p>
            <w:r/>
            <w:r>
              <w:rPr>
                <w:b w:val="0"/>
                <w:sz w:val="16"/>
              </w:rPr>
              <w:t>Change plan/billing cycle</w:t>
            </w:r>
          </w:p>
        </w:tc>
        <w:tc>
          <w:tcPr>
            <w:tcW w:type="dxa" w:w="6768"/>
            <w:vAlign w:val="center"/>
          </w:tcPr>
          <w:p>
            <w:r/>
            <w:r>
              <w:rPr>
                <w:b w:val="0"/>
                <w:sz w:val="16"/>
              </w:rPr>
              <w:t>Owner/Admin with BILLING_MANAGE</w:t>
            </w:r>
          </w:p>
        </w:tc>
      </w:tr>
      <w:tr>
        <w:tc>
          <w:tcPr>
            <w:tcW w:type="dxa" w:w="3528"/>
            <w:vAlign w:val="center"/>
          </w:tcPr>
          <w:p>
            <w:r/>
            <w:r>
              <w:rPr>
                <w:b w:val="0"/>
                <w:sz w:val="16"/>
              </w:rPr>
              <w:t>Purchase/remove seats or boosts</w:t>
            </w:r>
          </w:p>
        </w:tc>
        <w:tc>
          <w:tcPr>
            <w:tcW w:type="dxa" w:w="6768"/>
            <w:vAlign w:val="center"/>
          </w:tcPr>
          <w:p>
            <w:r/>
            <w:r>
              <w:rPr>
                <w:b w:val="0"/>
                <w:sz w:val="16"/>
              </w:rPr>
              <w:t>Owner/Admin with BILLING_MANAGE</w:t>
            </w:r>
          </w:p>
        </w:tc>
      </w:tr>
      <w:tr>
        <w:tc>
          <w:tcPr>
            <w:tcW w:type="dxa" w:w="3528"/>
            <w:vAlign w:val="center"/>
          </w:tcPr>
          <w:p>
            <w:r/>
            <w:r>
              <w:rPr>
                <w:b w:val="0"/>
                <w:sz w:val="16"/>
              </w:rPr>
              <w:t>Allocate capacity across projects</w:t>
            </w:r>
          </w:p>
        </w:tc>
        <w:tc>
          <w:tcPr>
            <w:tcW w:type="dxa" w:w="6768"/>
            <w:vAlign w:val="center"/>
          </w:tcPr>
          <w:p>
            <w:r/>
            <w:r>
              <w:rPr>
                <w:b w:val="0"/>
                <w:sz w:val="16"/>
              </w:rPr>
              <w:t>Owner/Admin; Manager only if CAPACITY_ALLOCATE granted</w:t>
            </w:r>
          </w:p>
        </w:tc>
      </w:tr>
      <w:tr>
        <w:tc>
          <w:tcPr>
            <w:tcW w:type="dxa" w:w="3528"/>
            <w:vAlign w:val="center"/>
          </w:tcPr>
          <w:p>
            <w:r/>
            <w:r>
              <w:rPr>
                <w:b w:val="0"/>
                <w:sz w:val="16"/>
              </w:rPr>
              <w:t>View workspace usage</w:t>
            </w:r>
          </w:p>
        </w:tc>
        <w:tc>
          <w:tcPr>
            <w:tcW w:type="dxa" w:w="6768"/>
            <w:vAlign w:val="center"/>
          </w:tcPr>
          <w:p>
            <w:r/>
            <w:r>
              <w:rPr>
                <w:b w:val="0"/>
                <w:sz w:val="16"/>
              </w:rPr>
              <w:t>Owner/Admin and permitted Manager; client-scoped views only for Client Viewer</w:t>
            </w:r>
          </w:p>
        </w:tc>
      </w:tr>
      <w:tr>
        <w:tc>
          <w:tcPr>
            <w:tcW w:type="dxa" w:w="3528"/>
            <w:vAlign w:val="center"/>
          </w:tcPr>
          <w:p>
            <w:r/>
            <w:r>
              <w:rPr>
                <w:b w:val="0"/>
                <w:sz w:val="16"/>
              </w:rPr>
              <w:t>Suspend/reactivate manually</w:t>
            </w:r>
          </w:p>
        </w:tc>
        <w:tc>
          <w:tcPr>
            <w:tcW w:type="dxa" w:w="6768"/>
            <w:vAlign w:val="center"/>
          </w:tcPr>
          <w:p>
            <w:r/>
            <w:r>
              <w:rPr>
                <w:b w:val="0"/>
                <w:sz w:val="16"/>
              </w:rPr>
              <w:t>Internal Commercial Admin only</w:t>
            </w:r>
          </w:p>
        </w:tc>
      </w:tr>
      <w:tr>
        <w:tc>
          <w:tcPr>
            <w:tcW w:type="dxa" w:w="3528"/>
            <w:vAlign w:val="center"/>
          </w:tcPr>
          <w:p>
            <w:r/>
            <w:r>
              <w:rPr>
                <w:b w:val="0"/>
                <w:sz w:val="16"/>
              </w:rPr>
              <w:t>Grant courtesy capacity</w:t>
            </w:r>
          </w:p>
        </w:tc>
        <w:tc>
          <w:tcPr>
            <w:tcW w:type="dxa" w:w="6768"/>
            <w:vAlign w:val="center"/>
          </w:tcPr>
          <w:p>
            <w:r/>
            <w:r>
              <w:rPr>
                <w:b w:val="0"/>
                <w:sz w:val="16"/>
              </w:rPr>
              <w:t>Internal Commercial Admin with reason and limits</w:t>
            </w:r>
          </w:p>
        </w:tc>
      </w:tr>
      <w:tr>
        <w:tc>
          <w:tcPr>
            <w:tcW w:type="dxa" w:w="3528"/>
            <w:vAlign w:val="center"/>
          </w:tcPr>
          <w:p>
            <w:r/>
            <w:r>
              <w:rPr>
                <w:b w:val="0"/>
                <w:sz w:val="16"/>
              </w:rPr>
              <w:t>Override entitlements</w:t>
            </w:r>
          </w:p>
        </w:tc>
        <w:tc>
          <w:tcPr>
            <w:tcW w:type="dxa" w:w="6768"/>
            <w:vAlign w:val="center"/>
          </w:tcPr>
          <w:p>
            <w:r/>
            <w:r>
              <w:rPr>
                <w:b w:val="0"/>
                <w:sz w:val="16"/>
              </w:rPr>
              <w:t>Restricted internal role; dual approval above configured threshold</w:t>
            </w:r>
          </w:p>
        </w:tc>
      </w:tr>
      <w:tr>
        <w:tc>
          <w:tcPr>
            <w:tcW w:type="dxa" w:w="3528"/>
            <w:vAlign w:val="center"/>
          </w:tcPr>
          <w:p>
            <w:r/>
            <w:r>
              <w:rPr>
                <w:b w:val="0"/>
                <w:sz w:val="16"/>
              </w:rPr>
              <w:t>Permanently delete workspace</w:t>
            </w:r>
          </w:p>
        </w:tc>
        <w:tc>
          <w:tcPr>
            <w:tcW w:type="dxa" w:w="6768"/>
            <w:vAlign w:val="center"/>
          </w:tcPr>
          <w:p>
            <w:r/>
            <w:r>
              <w:rPr>
                <w:b w:val="0"/>
                <w:sz w:val="16"/>
              </w:rPr>
              <w:t>Verified Owner plus security re-authentication; support-assisted path where required</w:t>
            </w:r>
          </w:p>
        </w:tc>
      </w:tr>
    </w:tbl>
    <w:p/>
    <w:p>
      <w:pPr>
        <w:pStyle w:val="Heading1"/>
      </w:pPr>
      <w:r>
        <w:t>11. Subscription Lifecycle State Machine</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7365D"/>
            <w:vAlign w:val="center"/>
          </w:tcPr>
          <w:p>
            <w:r/>
            <w:r>
              <w:rPr>
                <w:b/>
                <w:color w:val="FFFFFF"/>
                <w:sz w:val="16"/>
              </w:rPr>
              <w:t>State</w:t>
            </w:r>
          </w:p>
        </w:tc>
        <w:tc>
          <w:tcPr>
            <w:tcW w:type="dxa" w:w="3816"/>
            <w:shd w:fill="17365D"/>
            <w:vAlign w:val="center"/>
          </w:tcPr>
          <w:p>
            <w:r/>
            <w:r>
              <w:rPr>
                <w:b/>
                <w:color w:val="FFFFFF"/>
                <w:sz w:val="16"/>
              </w:rPr>
              <w:t>Meaning</w:t>
            </w:r>
          </w:p>
        </w:tc>
        <w:tc>
          <w:tcPr>
            <w:tcW w:type="dxa" w:w="4680"/>
            <w:shd w:fill="17365D"/>
            <w:vAlign w:val="center"/>
          </w:tcPr>
          <w:p>
            <w:r/>
            <w:r>
              <w:rPr>
                <w:b/>
                <w:color w:val="FFFFFF"/>
                <w:sz w:val="16"/>
              </w:rPr>
              <w:t>Workspace Behaviour</w:t>
            </w:r>
          </w:p>
        </w:tc>
      </w:tr>
      <w:tr>
        <w:tc>
          <w:tcPr>
            <w:tcW w:type="dxa" w:w="1800"/>
            <w:vAlign w:val="center"/>
          </w:tcPr>
          <w:p>
            <w:r/>
            <w:r>
              <w:rPr>
                <w:b w:val="0"/>
                <w:sz w:val="16"/>
              </w:rPr>
              <w:t>PENDING</w:t>
            </w:r>
          </w:p>
        </w:tc>
        <w:tc>
          <w:tcPr>
            <w:tcW w:type="dxa" w:w="3816"/>
            <w:vAlign w:val="center"/>
          </w:tcPr>
          <w:p>
            <w:r/>
            <w:r>
              <w:rPr>
                <w:b w:val="0"/>
                <w:sz w:val="16"/>
              </w:rPr>
              <w:t>Checkout started/provisioning incomplete</w:t>
            </w:r>
          </w:p>
        </w:tc>
        <w:tc>
          <w:tcPr>
            <w:tcW w:type="dxa" w:w="4680"/>
            <w:vAlign w:val="center"/>
          </w:tcPr>
          <w:p>
            <w:r/>
            <w:r>
              <w:rPr>
                <w:b w:val="0"/>
                <w:sz w:val="16"/>
              </w:rPr>
              <w:t>No paid entitlement; resume or reconcile checkout.</w:t>
            </w:r>
          </w:p>
        </w:tc>
      </w:tr>
      <w:tr>
        <w:tc>
          <w:tcPr>
            <w:tcW w:type="dxa" w:w="1800"/>
            <w:vAlign w:val="center"/>
          </w:tcPr>
          <w:p>
            <w:r/>
            <w:r>
              <w:rPr>
                <w:b w:val="0"/>
                <w:sz w:val="16"/>
              </w:rPr>
              <w:t>TRIALING</w:t>
            </w:r>
          </w:p>
        </w:tc>
        <w:tc>
          <w:tcPr>
            <w:tcW w:type="dxa" w:w="3816"/>
            <w:vAlign w:val="center"/>
          </w:tcPr>
          <w:p>
            <w:r/>
            <w:r>
              <w:rPr>
                <w:b w:val="0"/>
                <w:sz w:val="16"/>
              </w:rPr>
              <w:t>Only if a future approved offer enables it</w:t>
            </w:r>
          </w:p>
        </w:tc>
        <w:tc>
          <w:tcPr>
            <w:tcW w:type="dxa" w:w="4680"/>
            <w:vAlign w:val="center"/>
          </w:tcPr>
          <w:p>
            <w:r/>
            <w:r>
              <w:rPr>
                <w:b w:val="0"/>
                <w:sz w:val="16"/>
              </w:rPr>
              <w:t>Entitlements from trial PlanVersion. No implicit trial in current offer.</w:t>
            </w:r>
          </w:p>
        </w:tc>
      </w:tr>
      <w:tr>
        <w:tc>
          <w:tcPr>
            <w:tcW w:type="dxa" w:w="1800"/>
            <w:vAlign w:val="center"/>
          </w:tcPr>
          <w:p>
            <w:r/>
            <w:r>
              <w:rPr>
                <w:b w:val="0"/>
                <w:sz w:val="16"/>
              </w:rPr>
              <w:t>ACTIVE</w:t>
            </w:r>
          </w:p>
        </w:tc>
        <w:tc>
          <w:tcPr>
            <w:tcW w:type="dxa" w:w="3816"/>
            <w:vAlign w:val="center"/>
          </w:tcPr>
          <w:p>
            <w:r/>
            <w:r>
              <w:rPr>
                <w:b w:val="0"/>
                <w:sz w:val="16"/>
              </w:rPr>
              <w:t>Paid/current and in good standing</w:t>
            </w:r>
          </w:p>
        </w:tc>
        <w:tc>
          <w:tcPr>
            <w:tcW w:type="dxa" w:w="4680"/>
            <w:vAlign w:val="center"/>
          </w:tcPr>
          <w:p>
            <w:r/>
            <w:r>
              <w:rPr>
                <w:b w:val="0"/>
                <w:sz w:val="16"/>
              </w:rPr>
              <w:t>Full effective entitlements.</w:t>
            </w:r>
          </w:p>
        </w:tc>
      </w:tr>
      <w:tr>
        <w:tc>
          <w:tcPr>
            <w:tcW w:type="dxa" w:w="1800"/>
            <w:vAlign w:val="center"/>
          </w:tcPr>
          <w:p>
            <w:r/>
            <w:r>
              <w:rPr>
                <w:b w:val="0"/>
                <w:sz w:val="16"/>
              </w:rPr>
              <w:t>PAST_DUE</w:t>
            </w:r>
          </w:p>
        </w:tc>
        <w:tc>
          <w:tcPr>
            <w:tcW w:type="dxa" w:w="3816"/>
            <w:vAlign w:val="center"/>
          </w:tcPr>
          <w:p>
            <w:r/>
            <w:r>
              <w:rPr>
                <w:b w:val="0"/>
                <w:sz w:val="16"/>
              </w:rPr>
              <w:t>Renewal failed; grace period active</w:t>
            </w:r>
          </w:p>
        </w:tc>
        <w:tc>
          <w:tcPr>
            <w:tcW w:type="dxa" w:w="4680"/>
            <w:vAlign w:val="center"/>
          </w:tcPr>
          <w:p>
            <w:r/>
            <w:r>
              <w:rPr>
                <w:b w:val="0"/>
                <w:sz w:val="16"/>
              </w:rPr>
              <w:t>Entitlements continue with warnings; high-cost actions may be restricted late in grace by policy.</w:t>
            </w:r>
          </w:p>
        </w:tc>
      </w:tr>
      <w:tr>
        <w:tc>
          <w:tcPr>
            <w:tcW w:type="dxa" w:w="1800"/>
            <w:vAlign w:val="center"/>
          </w:tcPr>
          <w:p>
            <w:r/>
            <w:r>
              <w:rPr>
                <w:b w:val="0"/>
                <w:sz w:val="16"/>
              </w:rPr>
              <w:t>READ_ONLY</w:t>
            </w:r>
          </w:p>
        </w:tc>
        <w:tc>
          <w:tcPr>
            <w:tcW w:type="dxa" w:w="3816"/>
            <w:vAlign w:val="center"/>
          </w:tcPr>
          <w:p>
            <w:r/>
            <w:r>
              <w:rPr>
                <w:b w:val="0"/>
                <w:sz w:val="16"/>
              </w:rPr>
              <w:t>Grace expired or controlled downgrade condition</w:t>
            </w:r>
          </w:p>
        </w:tc>
        <w:tc>
          <w:tcPr>
            <w:tcW w:type="dxa" w:w="4680"/>
            <w:vAlign w:val="center"/>
          </w:tcPr>
          <w:p>
            <w:r/>
            <w:r>
              <w:rPr>
                <w:b w:val="0"/>
                <w:sz w:val="16"/>
              </w:rPr>
              <w:t>View/export/account/billing access; no new AI, publishing, automations or other costly writes.</w:t>
            </w:r>
          </w:p>
        </w:tc>
      </w:tr>
      <w:tr>
        <w:tc>
          <w:tcPr>
            <w:tcW w:type="dxa" w:w="1800"/>
            <w:vAlign w:val="center"/>
          </w:tcPr>
          <w:p>
            <w:r/>
            <w:r>
              <w:rPr>
                <w:b w:val="0"/>
                <w:sz w:val="16"/>
              </w:rPr>
              <w:t>SUSPENDED</w:t>
            </w:r>
          </w:p>
        </w:tc>
        <w:tc>
          <w:tcPr>
            <w:tcW w:type="dxa" w:w="3816"/>
            <w:vAlign w:val="center"/>
          </w:tcPr>
          <w:p>
            <w:r/>
            <w:r>
              <w:rPr>
                <w:b w:val="0"/>
                <w:sz w:val="16"/>
              </w:rPr>
              <w:t>Administrative, abuse, chargeback or prolonged non-payment hold</w:t>
            </w:r>
          </w:p>
        </w:tc>
        <w:tc>
          <w:tcPr>
            <w:tcW w:type="dxa" w:w="4680"/>
            <w:vAlign w:val="center"/>
          </w:tcPr>
          <w:p>
            <w:r/>
            <w:r>
              <w:rPr>
                <w:b w:val="0"/>
                <w:sz w:val="16"/>
              </w:rPr>
              <w:t>Access limited to permitted billing/support/data actions.</w:t>
            </w:r>
          </w:p>
        </w:tc>
      </w:tr>
      <w:tr>
        <w:tc>
          <w:tcPr>
            <w:tcW w:type="dxa" w:w="1800"/>
            <w:vAlign w:val="center"/>
          </w:tcPr>
          <w:p>
            <w:r/>
            <w:r>
              <w:rPr>
                <w:b w:val="0"/>
                <w:sz w:val="16"/>
              </w:rPr>
              <w:t>CANCEL_AT_PERIOD_END</w:t>
            </w:r>
          </w:p>
        </w:tc>
        <w:tc>
          <w:tcPr>
            <w:tcW w:type="dxa" w:w="3816"/>
            <w:vAlign w:val="center"/>
          </w:tcPr>
          <w:p>
            <w:r/>
            <w:r>
              <w:rPr>
                <w:b w:val="0"/>
                <w:sz w:val="16"/>
              </w:rPr>
              <w:t>Active until paid-through date</w:t>
            </w:r>
          </w:p>
        </w:tc>
        <w:tc>
          <w:tcPr>
            <w:tcW w:type="dxa" w:w="4680"/>
            <w:vAlign w:val="center"/>
          </w:tcPr>
          <w:p>
            <w:r/>
            <w:r>
              <w:rPr>
                <w:b w:val="0"/>
                <w:sz w:val="16"/>
              </w:rPr>
              <w:t>Normal entitlements until period end; renewal disabled.</w:t>
            </w:r>
          </w:p>
        </w:tc>
      </w:tr>
      <w:tr>
        <w:tc>
          <w:tcPr>
            <w:tcW w:type="dxa" w:w="1800"/>
            <w:vAlign w:val="center"/>
          </w:tcPr>
          <w:p>
            <w:r/>
            <w:r>
              <w:rPr>
                <w:b w:val="0"/>
                <w:sz w:val="16"/>
              </w:rPr>
              <w:t>CANCELLED</w:t>
            </w:r>
          </w:p>
        </w:tc>
        <w:tc>
          <w:tcPr>
            <w:tcW w:type="dxa" w:w="3816"/>
            <w:vAlign w:val="center"/>
          </w:tcPr>
          <w:p>
            <w:r/>
            <w:r>
              <w:rPr>
                <w:b w:val="0"/>
                <w:sz w:val="16"/>
              </w:rPr>
              <w:t>No current paid term</w:t>
            </w:r>
          </w:p>
        </w:tc>
        <w:tc>
          <w:tcPr>
            <w:tcW w:type="dxa" w:w="4680"/>
            <w:vAlign w:val="center"/>
          </w:tcPr>
          <w:p>
            <w:r/>
            <w:r>
              <w:rPr>
                <w:b w:val="0"/>
                <w:sz w:val="16"/>
              </w:rPr>
              <w:t>Read-only/retention behaviour according to policy.</w:t>
            </w:r>
          </w:p>
        </w:tc>
      </w:tr>
      <w:tr>
        <w:tc>
          <w:tcPr>
            <w:tcW w:type="dxa" w:w="1800"/>
            <w:vAlign w:val="center"/>
          </w:tcPr>
          <w:p>
            <w:r/>
            <w:r>
              <w:rPr>
                <w:b w:val="0"/>
                <w:sz w:val="16"/>
              </w:rPr>
              <w:t>DELETION_SCHEDULED</w:t>
            </w:r>
          </w:p>
        </w:tc>
        <w:tc>
          <w:tcPr>
            <w:tcW w:type="dxa" w:w="3816"/>
            <w:vAlign w:val="center"/>
          </w:tcPr>
          <w:p>
            <w:r/>
            <w:r>
              <w:rPr>
                <w:b w:val="0"/>
                <w:sz w:val="16"/>
              </w:rPr>
              <w:t>Retention expired and deletion approved</w:t>
            </w:r>
          </w:p>
        </w:tc>
        <w:tc>
          <w:tcPr>
            <w:tcW w:type="dxa" w:w="4680"/>
            <w:vAlign w:val="center"/>
          </w:tcPr>
          <w:p>
            <w:r/>
            <w:r>
              <w:rPr>
                <w:b w:val="0"/>
                <w:sz w:val="16"/>
              </w:rPr>
              <w:t>Limited recovery window; background deletion pending.</w:t>
            </w:r>
          </w:p>
        </w:tc>
      </w:tr>
      <w:tr>
        <w:tc>
          <w:tcPr>
            <w:tcW w:type="dxa" w:w="1800"/>
            <w:vAlign w:val="center"/>
          </w:tcPr>
          <w:p>
            <w:r/>
            <w:r>
              <w:rPr>
                <w:b w:val="0"/>
                <w:sz w:val="16"/>
              </w:rPr>
              <w:t>DELETED</w:t>
            </w:r>
          </w:p>
        </w:tc>
        <w:tc>
          <w:tcPr>
            <w:tcW w:type="dxa" w:w="3816"/>
            <w:vAlign w:val="center"/>
          </w:tcPr>
          <w:p>
            <w:r/>
            <w:r>
              <w:rPr>
                <w:b w:val="0"/>
                <w:sz w:val="16"/>
              </w:rPr>
              <w:t>Customer data permanently removed</w:t>
            </w:r>
          </w:p>
        </w:tc>
        <w:tc>
          <w:tcPr>
            <w:tcW w:type="dxa" w:w="4680"/>
            <w:vAlign w:val="center"/>
          </w:tcPr>
          <w:p>
            <w:r/>
            <w:r>
              <w:rPr>
                <w:b w:val="0"/>
                <w:sz w:val="16"/>
              </w:rPr>
              <w:t>Only legally/financially required records retained.</w:t>
            </w:r>
          </w:p>
        </w:tc>
      </w:tr>
    </w:tbl>
    <w:p/>
    <w:p>
      <w:pPr>
        <w:pStyle w:val="Heading1"/>
      </w:pPr>
      <w:r>
        <w:t>12. Founding Pricing Protection</w:t>
      </w:r>
    </w:p>
    <w:p>
      <w:pPr>
        <w:pStyle w:val="ListBullet"/>
      </w:pPr>
      <w:r>
        <w:t>A qualifying purchase must store foundingCampaignId, foundingMember=true, protectedPriceId and protectionStartAt.</w:t>
      </w:r>
    </w:p>
    <w:p>
      <w:pPr>
        <w:pStyle w:val="ListBullet"/>
      </w:pPr>
      <w:r>
        <w:t>Protection applies to the eligible subscription while continuously active and in good standing.</w:t>
      </w:r>
    </w:p>
    <w:p>
      <w:pPr>
        <w:pStyle w:val="ListBullet"/>
      </w:pPr>
      <w:r>
        <w:t>Normal monthly-to-annual or annual-to-monthly conversion may preserve Founding status only when an approved protected price exists for the destination interval and the conversion follows this specification.</w:t>
      </w:r>
    </w:p>
    <w:p>
      <w:pPr>
        <w:pStyle w:val="ListBullet"/>
      </w:pPr>
      <w:r>
        <w:t>Upgrade or downgrade preserves Founding pricing only when a protected Founding price exists for the destination plan and policy permits the transition.</w:t>
      </w:r>
    </w:p>
    <w:p>
      <w:pPr>
        <w:pStyle w:val="ListBullet"/>
      </w:pPr>
      <w:r>
        <w:t>Cancellation at period end retains protection until the paid-through date. If cancellation completes, protection ends unless an explicit approved reactivation window applies.</w:t>
      </w:r>
    </w:p>
    <w:p>
      <w:pPr>
        <w:pStyle w:val="ListBullet"/>
      </w:pPr>
      <w:r>
        <w:t>Failed payment during the configured grace period does not itself destroy protection if payment is recovered without subscription termination.</w:t>
      </w:r>
    </w:p>
    <w:p>
      <w:pPr>
        <w:pStyle w:val="ListBullet"/>
      </w:pPr>
      <w:r>
        <w:t>Chargeback, fraud, voluntary completed cancellation, or reactivation outside an approved window may forfeit protected pricing.</w:t>
      </w:r>
    </w:p>
    <w:p>
      <w:pPr>
        <w:pStyle w:val="ListBullet"/>
      </w:pPr>
      <w:r>
        <w:t>No administrator may silently convert a protected subscription to a standard price. Every exception requires an audited adjustment record.</w:t>
      </w:r>
    </w:p>
    <w:p>
      <w:pPr>
        <w:pStyle w:val="Heading1"/>
      </w:pPr>
      <w:r>
        <w:t>13. Monthly and Annual Billing</w:t>
      </w:r>
    </w:p>
    <w:p>
      <w:pPr>
        <w:pStyle w:val="ListBullet"/>
      </w:pPr>
      <w:r>
        <w:t>Monthly subscriptions renew on the billing anchor date each month; annual subscriptions renew yearly.</w:t>
      </w:r>
    </w:p>
    <w:p>
      <w:pPr>
        <w:pStyle w:val="ListBullet"/>
      </w:pPr>
      <w:r>
        <w:t>Annual payment does not grant the entire annual AI Capacity allowance upfront. Included capacity is released monthly on workspace capacity-cycle dates.</w:t>
      </w:r>
    </w:p>
    <w:p>
      <w:pPr>
        <w:pStyle w:val="ListBullet"/>
      </w:pPr>
      <w:r>
        <w:t>Capacity-cycle date should align with subscription anchor where practical, but must remain stable through provider retries and invoice delays.</w:t>
      </w:r>
    </w:p>
    <w:p>
      <w:pPr>
        <w:pStyle w:val="ListBullet"/>
      </w:pPr>
      <w:r>
        <w:t>Price display, invoices and provider transactions use the explicit Price.currency. Current approved prices remain as stated and are not converted automatically.</w:t>
      </w:r>
    </w:p>
    <w:p>
      <w:pPr>
        <w:pStyle w:val="ListBullet"/>
      </w:pPr>
      <w:r>
        <w:t>Billing provider tax calculation, if used, is separate from plan price and must be recorded on Invoice/Payment entities.</w:t>
      </w:r>
    </w:p>
    <w:p>
      <w:pPr>
        <w:pStyle w:val="Heading1"/>
      </w:pPr>
      <w:r>
        <w:t>14. Upgrade Workflow</w:t>
      </w:r>
    </w:p>
    <w:p>
      <w:pPr>
        <w:pStyle w:val="ListNumber"/>
      </w:pPr>
      <w:r>
        <w:t>Validate actor permission and target-plan eligibility.</w:t>
      </w:r>
    </w:p>
    <w:p>
      <w:pPr>
        <w:pStyle w:val="ListNumber"/>
      </w:pPr>
      <w:r>
        <w:t>Calculate entitlement delta, immediate price/proration, seat compatibility and over-limit conditions.</w:t>
      </w:r>
    </w:p>
    <w:p>
      <w:pPr>
        <w:pStyle w:val="ListNumber"/>
      </w:pPr>
      <w:r>
        <w:t>Present a review screen showing effective date, amount due/credit, new renewal price, project/client/seat/capacity changes and Founding-price effect.</w:t>
      </w:r>
    </w:p>
    <w:p>
      <w:pPr>
        <w:pStyle w:val="ListNumber"/>
      </w:pPr>
      <w:r>
        <w:t>Create idempotent ChangeRequest and update provider subscription.</w:t>
      </w:r>
    </w:p>
    <w:p>
      <w:pPr>
        <w:pStyle w:val="ListNumber"/>
      </w:pPr>
      <w:r>
        <w:t>After authoritative provider confirmation, activate the new PlanVersion and PriceVersion.</w:t>
      </w:r>
    </w:p>
    <w:p>
      <w:pPr>
        <w:pStyle w:val="ListNumber"/>
      </w:pPr>
      <w:r>
        <w:t>Apply increased entitlements immediately unless provider/payment status requires pending state.</w:t>
      </w:r>
    </w:p>
    <w:p>
      <w:pPr>
        <w:pStyle w:val="ListNumber"/>
      </w:pPr>
      <w:r>
        <w:t>Grant prorated incremental included capacity only when approved by policy; never double-grant a full monthly allowance.</w:t>
      </w:r>
    </w:p>
    <w:p>
      <w:pPr>
        <w:pStyle w:val="ListNumber"/>
      </w:pPr>
      <w:r>
        <w:t>Write billing, entitlement, capacity and audit events; notify Owner.</w:t>
      </w:r>
    </w:p>
    <w:p>
      <w:pPr>
        <w:pStyle w:val="Heading1"/>
      </w:pPr>
      <w:r>
        <w:t>15. Downgrade Workflow</w:t>
      </w:r>
    </w:p>
    <w:p>
      <w:pPr>
        <w:pStyle w:val="ListNumber"/>
      </w:pPr>
      <w:r>
        <w:t>Validate permission and calculate future entitlement shortfalls.</w:t>
      </w:r>
    </w:p>
    <w:p>
      <w:pPr>
        <w:pStyle w:val="ListNumber"/>
      </w:pPr>
      <w:r>
        <w:t>Identify excess active projects, clients, seats and unavailable features.</w:t>
      </w:r>
    </w:p>
    <w:p>
      <w:pPr>
        <w:pStyle w:val="ListNumber"/>
      </w:pPr>
      <w:r>
        <w:t>Require the Owner to resolve required archival/seat choices before scheduling where possible.</w:t>
      </w:r>
    </w:p>
    <w:p>
      <w:pPr>
        <w:pStyle w:val="ListNumber"/>
      </w:pPr>
      <w:r>
        <w:t>Default downgrade to period end to avoid destructive immediate changes and complex refunds, unless an approved support exception applies.</w:t>
      </w:r>
    </w:p>
    <w:p>
      <w:pPr>
        <w:pStyle w:val="ListNumber"/>
      </w:pPr>
      <w:r>
        <w:t>At effective time, apply the destination PlanVersion and mark unresolved excess resources OVER_LIMIT rather than deleting them.</w:t>
      </w:r>
    </w:p>
    <w:p>
      <w:pPr>
        <w:pStyle w:val="ListNumber"/>
      </w:pPr>
      <w:r>
        <w:t>Disable creation/reactivation and expensive execution until compliant. Preserve read/export access according to policy.</w:t>
      </w:r>
    </w:p>
    <w:p>
      <w:pPr>
        <w:pStyle w:val="ListNumber"/>
      </w:pPr>
      <w:r>
        <w:t>No unused AI Capacity cash refund. Capacity treatment follows the policy version attached to the subscription.</w:t>
      </w:r>
    </w:p>
    <w:p>
      <w:pPr>
        <w:pStyle w:val="ListNumber"/>
      </w:pPr>
      <w:r>
        <w:t>Write audit and notifications before and after the effective change.</w:t>
      </w:r>
    </w:p>
    <w:p>
      <w:pPr>
        <w:pStyle w:val="Heading1"/>
      </w:pPr>
      <w:r>
        <w:t>16. Monthly ↔ Annual Conversion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17365D"/>
            <w:vAlign w:val="center"/>
          </w:tcPr>
          <w:p>
            <w:r/>
            <w:r>
              <w:rPr>
                <w:b/>
                <w:color w:val="FFFFFF"/>
                <w:sz w:val="16"/>
              </w:rPr>
              <w:t>Conversion</w:t>
            </w:r>
          </w:p>
        </w:tc>
        <w:tc>
          <w:tcPr>
            <w:tcW w:type="dxa" w:w="1944"/>
            <w:shd w:fill="17365D"/>
            <w:vAlign w:val="center"/>
          </w:tcPr>
          <w:p>
            <w:r/>
            <w:r>
              <w:rPr>
                <w:b/>
                <w:color w:val="FFFFFF"/>
                <w:sz w:val="16"/>
              </w:rPr>
              <w:t>Default Effective Time</w:t>
            </w:r>
          </w:p>
        </w:tc>
        <w:tc>
          <w:tcPr>
            <w:tcW w:type="dxa" w:w="3816"/>
            <w:shd w:fill="17365D"/>
            <w:vAlign w:val="center"/>
          </w:tcPr>
          <w:p>
            <w:r/>
            <w:r>
              <w:rPr>
                <w:b/>
                <w:color w:val="FFFFFF"/>
                <w:sz w:val="16"/>
              </w:rPr>
              <w:t>Financial Treatment</w:t>
            </w:r>
          </w:p>
        </w:tc>
        <w:tc>
          <w:tcPr>
            <w:tcW w:type="dxa" w:w="2880"/>
            <w:shd w:fill="17365D"/>
            <w:vAlign w:val="center"/>
          </w:tcPr>
          <w:p>
            <w:r/>
            <w:r>
              <w:rPr>
                <w:b/>
                <w:color w:val="FFFFFF"/>
                <w:sz w:val="16"/>
              </w:rPr>
              <w:t>Capacity Treatment</w:t>
            </w:r>
          </w:p>
        </w:tc>
      </w:tr>
      <w:tr>
        <w:tc>
          <w:tcPr>
            <w:tcW w:type="dxa" w:w="1800"/>
            <w:vAlign w:val="center"/>
          </w:tcPr>
          <w:p>
            <w:r/>
            <w:r>
              <w:rPr>
                <w:b w:val="0"/>
                <w:sz w:val="16"/>
              </w:rPr>
              <w:t>Monthly to Annual</w:t>
            </w:r>
          </w:p>
        </w:tc>
        <w:tc>
          <w:tcPr>
            <w:tcW w:type="dxa" w:w="1944"/>
            <w:vAlign w:val="center"/>
          </w:tcPr>
          <w:p>
            <w:r/>
            <w:r>
              <w:rPr>
                <w:b w:val="0"/>
                <w:sz w:val="16"/>
              </w:rPr>
              <w:t>Immediate after confirmed payment</w:t>
            </w:r>
          </w:p>
        </w:tc>
        <w:tc>
          <w:tcPr>
            <w:tcW w:type="dxa" w:w="3816"/>
            <w:vAlign w:val="center"/>
          </w:tcPr>
          <w:p>
            <w:r/>
            <w:r>
              <w:rPr>
                <w:b w:val="0"/>
                <w:sz w:val="16"/>
              </w:rPr>
              <w:t>Credit unused monthly time against annual charge using provider-supported proration or internal invoice adjustment.</w:t>
            </w:r>
          </w:p>
        </w:tc>
        <w:tc>
          <w:tcPr>
            <w:tcW w:type="dxa" w:w="2880"/>
            <w:vAlign w:val="center"/>
          </w:tcPr>
          <w:p>
            <w:r/>
            <w:r>
              <w:rPr>
                <w:b w:val="0"/>
                <w:sz w:val="16"/>
              </w:rPr>
              <w:t>Do not grant 12 months upfront; continue monthly releases. Any approved prorated delta is ledgered once.</w:t>
            </w:r>
          </w:p>
        </w:tc>
      </w:tr>
      <w:tr>
        <w:tc>
          <w:tcPr>
            <w:tcW w:type="dxa" w:w="1800"/>
            <w:vAlign w:val="center"/>
          </w:tcPr>
          <w:p>
            <w:r/>
            <w:r>
              <w:rPr>
                <w:b w:val="0"/>
                <w:sz w:val="16"/>
              </w:rPr>
              <w:t>Annual to Monthly</w:t>
            </w:r>
          </w:p>
        </w:tc>
        <w:tc>
          <w:tcPr>
            <w:tcW w:type="dxa" w:w="1944"/>
            <w:vAlign w:val="center"/>
          </w:tcPr>
          <w:p>
            <w:r/>
            <w:r>
              <w:rPr>
                <w:b w:val="0"/>
                <w:sz w:val="16"/>
              </w:rPr>
              <w:t>End of annual paid term</w:t>
            </w:r>
          </w:p>
        </w:tc>
        <w:tc>
          <w:tcPr>
            <w:tcW w:type="dxa" w:w="3816"/>
            <w:vAlign w:val="center"/>
          </w:tcPr>
          <w:p>
            <w:r/>
            <w:r>
              <w:rPr>
                <w:b w:val="0"/>
                <w:sz w:val="16"/>
              </w:rPr>
              <w:t>No automatic refund for unused annual term unless policy/legal exception.</w:t>
            </w:r>
          </w:p>
        </w:tc>
        <w:tc>
          <w:tcPr>
            <w:tcW w:type="dxa" w:w="2880"/>
            <w:vAlign w:val="center"/>
          </w:tcPr>
          <w:p>
            <w:r/>
            <w:r>
              <w:rPr>
                <w:b w:val="0"/>
                <w:sz w:val="16"/>
              </w:rPr>
              <w:t>Monthly releases continue through paid term; destination monthly cycle begins at conversion.</w:t>
            </w:r>
          </w:p>
        </w:tc>
      </w:tr>
      <w:tr>
        <w:tc>
          <w:tcPr>
            <w:tcW w:type="dxa" w:w="1800"/>
            <w:vAlign w:val="center"/>
          </w:tcPr>
          <w:p>
            <w:r/>
            <w:r>
              <w:rPr>
                <w:b w:val="0"/>
                <w:sz w:val="16"/>
              </w:rPr>
              <w:t>Founding conversion</w:t>
            </w:r>
          </w:p>
        </w:tc>
        <w:tc>
          <w:tcPr>
            <w:tcW w:type="dxa" w:w="1944"/>
            <w:vAlign w:val="center"/>
          </w:tcPr>
          <w:p>
            <w:r/>
            <w:r>
              <w:rPr>
                <w:b w:val="0"/>
                <w:sz w:val="16"/>
              </w:rPr>
              <w:t>Per protected-price rules</w:t>
            </w:r>
          </w:p>
        </w:tc>
        <w:tc>
          <w:tcPr>
            <w:tcW w:type="dxa" w:w="3816"/>
            <w:vAlign w:val="center"/>
          </w:tcPr>
          <w:p>
            <w:r/>
            <w:r>
              <w:rPr>
                <w:b w:val="0"/>
                <w:sz w:val="16"/>
              </w:rPr>
              <w:t>Use protected destination price only when eligible.</w:t>
            </w:r>
          </w:p>
        </w:tc>
        <w:tc>
          <w:tcPr>
            <w:tcW w:type="dxa" w:w="2880"/>
            <w:vAlign w:val="center"/>
          </w:tcPr>
          <w:p>
            <w:r/>
            <w:r>
              <w:rPr>
                <w:b w:val="0"/>
                <w:sz w:val="16"/>
              </w:rPr>
              <w:t>No duplicate grants.</w:t>
            </w:r>
          </w:p>
        </w:tc>
      </w:tr>
    </w:tbl>
    <w:p/>
    <w:p>
      <w:pPr>
        <w:pStyle w:val="Heading1"/>
      </w:pPr>
      <w:r>
        <w:t>17. Proration Rules</w:t>
      </w:r>
    </w:p>
    <w:p>
      <w:r>
        <w:t>Use second-accurate or provider-native proration, normalized to a ProrationCalculation record. The customer-facing amount must be shown before confirmation where the provider supports deterministic calculation.</w:t>
      </w:r>
    </w:p>
    <w:tbl>
      <w:tblPr>
        <w:tblStyle w:val="TableGrid"/>
        <w:tblW w:type="auto" w:w="0"/>
        <w:jc w:val="center"/>
        <w:tblLook w:firstColumn="1" w:firstRow="1" w:lastColumn="0" w:lastRow="0" w:noHBand="0" w:noVBand="1" w:val="04A0"/>
      </w:tblPr>
      <w:tblGrid>
        <w:gridCol w:w="5083"/>
        <w:gridCol w:w="5083"/>
      </w:tblGrid>
      <w:tr>
        <w:tc>
          <w:tcPr>
            <w:tcW w:type="dxa" w:w="2376"/>
            <w:shd w:fill="17365D"/>
            <w:vAlign w:val="center"/>
          </w:tcPr>
          <w:p>
            <w:r/>
            <w:r>
              <w:rPr>
                <w:b/>
                <w:color w:val="FFFFFF"/>
                <w:sz w:val="16"/>
              </w:rPr>
              <w:t>Field</w:t>
            </w:r>
          </w:p>
        </w:tc>
        <w:tc>
          <w:tcPr>
            <w:tcW w:type="dxa" w:w="7920"/>
            <w:shd w:fill="17365D"/>
            <w:vAlign w:val="center"/>
          </w:tcPr>
          <w:p>
            <w:r/>
            <w:r>
              <w:rPr>
                <w:b/>
                <w:color w:val="FFFFFF"/>
                <w:sz w:val="16"/>
              </w:rPr>
              <w:t>Requirement</w:t>
            </w:r>
          </w:p>
        </w:tc>
      </w:tr>
      <w:tr>
        <w:tc>
          <w:tcPr>
            <w:tcW w:type="dxa" w:w="2376"/>
            <w:vAlign w:val="center"/>
          </w:tcPr>
          <w:p>
            <w:r/>
            <w:r>
              <w:rPr>
                <w:b w:val="0"/>
                <w:sz w:val="16"/>
              </w:rPr>
              <w:t>periodStart/periodEnd</w:t>
            </w:r>
          </w:p>
        </w:tc>
        <w:tc>
          <w:tcPr>
            <w:tcW w:type="dxa" w:w="7920"/>
            <w:vAlign w:val="center"/>
          </w:tcPr>
          <w:p>
            <w:r/>
            <w:r>
              <w:rPr>
                <w:b w:val="0"/>
                <w:sz w:val="16"/>
              </w:rPr>
              <w:t>Current paid service period.</w:t>
            </w:r>
          </w:p>
        </w:tc>
      </w:tr>
      <w:tr>
        <w:tc>
          <w:tcPr>
            <w:tcW w:type="dxa" w:w="2376"/>
            <w:vAlign w:val="center"/>
          </w:tcPr>
          <w:p>
            <w:r/>
            <w:r>
              <w:rPr>
                <w:b w:val="0"/>
                <w:sz w:val="16"/>
              </w:rPr>
              <w:t>changeEffectiveAt</w:t>
            </w:r>
          </w:p>
        </w:tc>
        <w:tc>
          <w:tcPr>
            <w:tcW w:type="dxa" w:w="7920"/>
            <w:vAlign w:val="center"/>
          </w:tcPr>
          <w:p>
            <w:r/>
            <w:r>
              <w:rPr>
                <w:b w:val="0"/>
                <w:sz w:val="16"/>
              </w:rPr>
              <w:t>Timestamp at which entitlement changes.</w:t>
            </w:r>
          </w:p>
        </w:tc>
      </w:tr>
      <w:tr>
        <w:tc>
          <w:tcPr>
            <w:tcW w:type="dxa" w:w="2376"/>
            <w:vAlign w:val="center"/>
          </w:tcPr>
          <w:p>
            <w:r/>
            <w:r>
              <w:rPr>
                <w:b w:val="0"/>
                <w:sz w:val="16"/>
              </w:rPr>
              <w:t>unusedValueCredit</w:t>
            </w:r>
          </w:p>
        </w:tc>
        <w:tc>
          <w:tcPr>
            <w:tcW w:type="dxa" w:w="7920"/>
            <w:vAlign w:val="center"/>
          </w:tcPr>
          <w:p>
            <w:r/>
            <w:r>
              <w:rPr>
                <w:b w:val="0"/>
                <w:sz w:val="16"/>
              </w:rPr>
              <w:t>Unused value of old price.</w:t>
            </w:r>
          </w:p>
        </w:tc>
      </w:tr>
      <w:tr>
        <w:tc>
          <w:tcPr>
            <w:tcW w:type="dxa" w:w="2376"/>
            <w:vAlign w:val="center"/>
          </w:tcPr>
          <w:p>
            <w:r/>
            <w:r>
              <w:rPr>
                <w:b w:val="0"/>
                <w:sz w:val="16"/>
              </w:rPr>
              <w:t>newValueCharge</w:t>
            </w:r>
          </w:p>
        </w:tc>
        <w:tc>
          <w:tcPr>
            <w:tcW w:type="dxa" w:w="7920"/>
            <w:vAlign w:val="center"/>
          </w:tcPr>
          <w:p>
            <w:r/>
            <w:r>
              <w:rPr>
                <w:b w:val="0"/>
                <w:sz w:val="16"/>
              </w:rPr>
              <w:t>Value of new price for remaining period.</w:t>
            </w:r>
          </w:p>
        </w:tc>
      </w:tr>
      <w:tr>
        <w:tc>
          <w:tcPr>
            <w:tcW w:type="dxa" w:w="2376"/>
            <w:vAlign w:val="center"/>
          </w:tcPr>
          <w:p>
            <w:r/>
            <w:r>
              <w:rPr>
                <w:b w:val="0"/>
                <w:sz w:val="16"/>
              </w:rPr>
              <w:t>tax/discount</w:t>
            </w:r>
          </w:p>
        </w:tc>
        <w:tc>
          <w:tcPr>
            <w:tcW w:type="dxa" w:w="7920"/>
            <w:vAlign w:val="center"/>
          </w:tcPr>
          <w:p>
            <w:r/>
            <w:r>
              <w:rPr>
                <w:b w:val="0"/>
                <w:sz w:val="16"/>
              </w:rPr>
              <w:t>Recorded separately.</w:t>
            </w:r>
          </w:p>
        </w:tc>
      </w:tr>
      <w:tr>
        <w:tc>
          <w:tcPr>
            <w:tcW w:type="dxa" w:w="2376"/>
            <w:vAlign w:val="center"/>
          </w:tcPr>
          <w:p>
            <w:r/>
            <w:r>
              <w:rPr>
                <w:b w:val="0"/>
                <w:sz w:val="16"/>
              </w:rPr>
              <w:t>netDue</w:t>
            </w:r>
          </w:p>
        </w:tc>
        <w:tc>
          <w:tcPr>
            <w:tcW w:type="dxa" w:w="7920"/>
            <w:vAlign w:val="center"/>
          </w:tcPr>
          <w:p>
            <w:r/>
            <w:r>
              <w:rPr>
                <w:b w:val="0"/>
                <w:sz w:val="16"/>
              </w:rPr>
              <w:t>newValueCharge - unusedValueCredit + tax - discount.</w:t>
            </w:r>
          </w:p>
        </w:tc>
      </w:tr>
      <w:tr>
        <w:tc>
          <w:tcPr>
            <w:tcW w:type="dxa" w:w="2376"/>
            <w:vAlign w:val="center"/>
          </w:tcPr>
          <w:p>
            <w:r/>
            <w:r>
              <w:rPr>
                <w:b w:val="0"/>
                <w:sz w:val="16"/>
              </w:rPr>
              <w:t>rounding</w:t>
            </w:r>
          </w:p>
        </w:tc>
        <w:tc>
          <w:tcPr>
            <w:tcW w:type="dxa" w:w="7920"/>
            <w:vAlign w:val="center"/>
          </w:tcPr>
          <w:p>
            <w:r/>
            <w:r>
              <w:rPr>
                <w:b w:val="0"/>
                <w:sz w:val="16"/>
              </w:rPr>
              <w:t>Use currency minor units and provider-consistent rounding.</w:t>
            </w:r>
          </w:p>
        </w:tc>
      </w:tr>
      <w:tr>
        <w:tc>
          <w:tcPr>
            <w:tcW w:type="dxa" w:w="2376"/>
            <w:vAlign w:val="center"/>
          </w:tcPr>
          <w:p>
            <w:r/>
            <w:r>
              <w:rPr>
                <w:b w:val="0"/>
                <w:sz w:val="16"/>
              </w:rPr>
              <w:t>idempotency</w:t>
            </w:r>
          </w:p>
        </w:tc>
        <w:tc>
          <w:tcPr>
            <w:tcW w:type="dxa" w:w="7920"/>
            <w:vAlign w:val="center"/>
          </w:tcPr>
          <w:p>
            <w:r/>
            <w:r>
              <w:rPr>
                <w:b w:val="0"/>
                <w:sz w:val="16"/>
              </w:rPr>
              <w:t>One calculation/application per ChangeRequest.</w:t>
            </w:r>
          </w:p>
        </w:tc>
      </w:tr>
    </w:tbl>
    <w:p/>
    <w:p>
      <w:pPr>
        <w:pStyle w:val="Heading1"/>
      </w:pPr>
      <w:r>
        <w:t>18. Failed Payment, Grace Period and Recovery</w:t>
      </w:r>
    </w:p>
    <w:p>
      <w:pPr>
        <w:pStyle w:val="ListNumber"/>
      </w:pPr>
      <w:r>
        <w:t>Provider sends payment failure; Billing Event Service deduplicates and records it.</w:t>
      </w:r>
    </w:p>
    <w:p>
      <w:pPr>
        <w:pStyle w:val="ListNumber"/>
      </w:pPr>
      <w:r>
        <w:t>Subscription moves ACTIVE -&gt; PAST_DUE. Store failure reason category without exposing sensitive payment data.</w:t>
      </w:r>
    </w:p>
    <w:p>
      <w:pPr>
        <w:pStyle w:val="ListNumber"/>
      </w:pPr>
      <w:r>
        <w:t>Send immediate in-app/email notice to Owner with secure payment-update path.</w:t>
      </w:r>
    </w:p>
    <w:p>
      <w:pPr>
        <w:pStyle w:val="ListNumber"/>
      </w:pPr>
      <w:r>
        <w:t>Run configured retry schedule through provider and daily reconciliation.</w:t>
      </w:r>
    </w:p>
    <w:p>
      <w:pPr>
        <w:pStyle w:val="ListNumber"/>
      </w:pPr>
      <w:r>
        <w:t>Capacity grants scheduled during PAST_DUE are held or limited according to PolicyVersion; existing unused balance remains visible.</w:t>
      </w:r>
    </w:p>
    <w:p>
      <w:pPr>
        <w:pStyle w:val="ListNumber"/>
      </w:pPr>
      <w:r>
        <w:t>Before grace expiry, send escalating notices.</w:t>
      </w:r>
    </w:p>
    <w:p>
      <w:pPr>
        <w:pStyle w:val="ListNumber"/>
      </w:pPr>
      <w:r>
        <w:t>On successful recovery, return to ACTIVE, release any policy-approved held grant and retain Founding protection.</w:t>
      </w:r>
    </w:p>
    <w:p>
      <w:pPr>
        <w:pStyle w:val="ListNumber"/>
      </w:pPr>
      <w:r>
        <w:t>On grace expiry, move to READ_ONLY. Disable new AI jobs, publishing, scheduled automations, tracking expansion and other cost-incurring operations.</w:t>
      </w:r>
    </w:p>
    <w:p>
      <w:pPr>
        <w:pStyle w:val="ListNumber"/>
      </w:pPr>
      <w:r>
        <w:t>After the configured suspension threshold, move to SUSPENDED/CANCELLED according to provider and policy.</w:t>
      </w:r>
    </w:p>
    <w:p>
      <w:pPr>
        <w:pStyle w:val="ListNumber"/>
      </w:pPr>
      <w:r>
        <w:t>Never permanently delete immediately after failed payment.</w:t>
      </w:r>
    </w:p>
    <w:p>
      <w:pPr>
        <w:pStyle w:val="Heading1"/>
      </w:pPr>
      <w:r>
        <w:t>19. Read-Only Mode</w:t>
      </w:r>
    </w:p>
    <w:tbl>
      <w:tblPr>
        <w:tblStyle w:val="TableGrid"/>
        <w:tblW w:type="auto" w:w="0"/>
        <w:jc w:val="center"/>
        <w:tblLook w:firstColumn="1" w:firstRow="1" w:lastColumn="0" w:lastRow="0" w:noHBand="0" w:noVBand="1" w:val="04A0"/>
      </w:tblPr>
      <w:tblGrid>
        <w:gridCol w:w="5083"/>
        <w:gridCol w:w="5083"/>
      </w:tblGrid>
      <w:tr>
        <w:tc>
          <w:tcPr>
            <w:tcW w:type="dxa" w:w="5112"/>
            <w:shd w:fill="17365D"/>
            <w:vAlign w:val="center"/>
          </w:tcPr>
          <w:p>
            <w:r/>
            <w:r>
              <w:rPr>
                <w:b/>
                <w:color w:val="FFFFFF"/>
                <w:sz w:val="16"/>
              </w:rPr>
              <w:t>Allowed</w:t>
            </w:r>
          </w:p>
        </w:tc>
        <w:tc>
          <w:tcPr>
            <w:tcW w:type="dxa" w:w="5112"/>
            <w:shd w:fill="17365D"/>
            <w:vAlign w:val="center"/>
          </w:tcPr>
          <w:p>
            <w:r/>
            <w:r>
              <w:rPr>
                <w:b/>
                <w:color w:val="FFFFFF"/>
                <w:sz w:val="16"/>
              </w:rPr>
              <w:t>Blocked</w:t>
            </w:r>
          </w:p>
        </w:tc>
      </w:tr>
      <w:tr>
        <w:tc>
          <w:tcPr>
            <w:tcW w:type="dxa" w:w="5112"/>
            <w:vAlign w:val="center"/>
          </w:tcPr>
          <w:p>
            <w:r/>
            <w:r>
              <w:rPr>
                <w:b w:val="0"/>
                <w:sz w:val="16"/>
              </w:rPr>
              <w:t>Login, workspace switching, view projects/content/reports, export permitted data, view invoices/usage, update payment method, contact support, cancel/reactivate where eligible.</w:t>
            </w:r>
          </w:p>
        </w:tc>
        <w:tc>
          <w:tcPr>
            <w:tcW w:type="dxa" w:w="5112"/>
            <w:vAlign w:val="center"/>
          </w:tcPr>
          <w:p>
            <w:r/>
            <w:r>
              <w:rPr>
                <w:b w:val="0"/>
                <w:sz w:val="16"/>
              </w:rPr>
              <w:t>New AI requests, new content generation, publishing changes, scheduled automation execution, new integrations, new projects/clients/seats, rank-tracking expansion, destructive admin changes.</w:t>
            </w:r>
          </w:p>
        </w:tc>
      </w:tr>
    </w:tbl>
    <w:p/>
    <w:p>
      <w:pPr>
        <w:pStyle w:val="Heading1"/>
      </w:pPr>
      <w:r>
        <w:t>20. Suspension and Reactivation</w:t>
      </w:r>
    </w:p>
    <w:p>
      <w:pPr>
        <w:pStyle w:val="ListBullet"/>
      </w:pPr>
      <w:r>
        <w:t>Suspension reasons include prolonged non-payment, chargeback, verified abuse, security risk, legal requirement or manual commercial hold.</w:t>
      </w:r>
    </w:p>
    <w:p>
      <w:pPr>
        <w:pStyle w:val="ListBullet"/>
      </w:pPr>
      <w:r>
        <w:t>Reactivation validates payment status, policy eligibility, data-retention state, target price eligibility and abuse/security clearance.</w:t>
      </w:r>
    </w:p>
    <w:p>
      <w:pPr>
        <w:pStyle w:val="ListBullet"/>
      </w:pPr>
      <w:r>
        <w:t>If within approved reactivation window, the prior protected Founding price may be restored; otherwise available current pricing applies.</w:t>
      </w:r>
    </w:p>
    <w:p>
      <w:pPr>
        <w:pStyle w:val="ListBullet"/>
      </w:pPr>
      <w:r>
        <w:t>Reactivation restores entitlements only after payment/provider confirmation and successful workspace-state reconciliation.</w:t>
      </w:r>
    </w:p>
    <w:p>
      <w:pPr>
        <w:pStyle w:val="ListBullet"/>
      </w:pPr>
      <w:r>
        <w:t>Jobs disabled during suspension must not automatically replay without validation; safe schedules may resume from the next occurrence.</w:t>
      </w:r>
    </w:p>
    <w:p>
      <w:pPr>
        <w:pStyle w:val="ListBullet"/>
      </w:pPr>
      <w:r>
        <w:t>All suspension/reactivation decisions and actors are audited.</w:t>
      </w:r>
    </w:p>
    <w:p>
      <w:pPr>
        <w:pStyle w:val="Heading1"/>
      </w:pPr>
      <w:r>
        <w:t>21. AI Capacity Model</w:t>
      </w:r>
    </w:p>
    <w:p>
      <w:r>
        <w:t>AI Capacity is the approved customer-facing term for shared workspace AI usage. The internal Capacity Engine may meter tokens, images, crawl units, API calls, processing time, storage or composite cost units, but the customer sees a normalized allowance and understandable action estimates.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7365D"/>
            <w:vAlign w:val="center"/>
          </w:tcPr>
          <w:p>
            <w:r/>
            <w:r>
              <w:rPr>
                <w:b/>
                <w:color w:val="FFFFFF"/>
                <w:sz w:val="16"/>
              </w:rPr>
              <w:t>Source</w:t>
            </w:r>
          </w:p>
        </w:tc>
        <w:tc>
          <w:tcPr>
            <w:tcW w:type="dxa" w:w="2232"/>
            <w:shd w:fill="17365D"/>
            <w:vAlign w:val="center"/>
          </w:tcPr>
          <w:p>
            <w:r/>
            <w:r>
              <w:rPr>
                <w:b/>
                <w:color w:val="FFFFFF"/>
                <w:sz w:val="16"/>
              </w:rPr>
              <w:t>Ledger Entry Type</w:t>
            </w:r>
          </w:p>
        </w:tc>
        <w:tc>
          <w:tcPr>
            <w:tcW w:type="dxa" w:w="5760"/>
            <w:shd w:fill="17365D"/>
            <w:vAlign w:val="center"/>
          </w:tcPr>
          <w:p>
            <w:r/>
            <w:r>
              <w:rPr>
                <w:b/>
                <w:color w:val="FFFFFF"/>
                <w:sz w:val="16"/>
              </w:rPr>
              <w:t>Expiry</w:t>
            </w:r>
          </w:p>
        </w:tc>
      </w:tr>
      <w:tr>
        <w:tc>
          <w:tcPr>
            <w:tcW w:type="dxa" w:w="2232"/>
            <w:vAlign w:val="center"/>
          </w:tcPr>
          <w:p>
            <w:r/>
            <w:r>
              <w:rPr>
                <w:b w:val="0"/>
                <w:sz w:val="16"/>
              </w:rPr>
              <w:t>Monthly plan grant</w:t>
            </w:r>
          </w:p>
        </w:tc>
        <w:tc>
          <w:tcPr>
            <w:tcW w:type="dxa" w:w="2232"/>
            <w:vAlign w:val="center"/>
          </w:tcPr>
          <w:p>
            <w:r/>
            <w:r>
              <w:rPr>
                <w:b w:val="0"/>
                <w:sz w:val="16"/>
              </w:rPr>
              <w:t>PLAN_GRANT</w:t>
            </w:r>
          </w:p>
        </w:tc>
        <w:tc>
          <w:tcPr>
            <w:tcW w:type="dxa" w:w="5760"/>
            <w:vAlign w:val="center"/>
          </w:tcPr>
          <w:p>
            <w:r/>
            <w:r>
              <w:rPr>
                <w:b w:val="0"/>
                <w:sz w:val="16"/>
              </w:rPr>
              <w:t>Expires according to PolicyVersion; monthly release even on annual billing.</w:t>
            </w:r>
          </w:p>
        </w:tc>
      </w:tr>
      <w:tr>
        <w:tc>
          <w:tcPr>
            <w:tcW w:type="dxa" w:w="2232"/>
            <w:vAlign w:val="center"/>
          </w:tcPr>
          <w:p>
            <w:r/>
            <w:r>
              <w:rPr>
                <w:b w:val="0"/>
                <w:sz w:val="16"/>
              </w:rPr>
              <w:t>Paid-seat contribution</w:t>
            </w:r>
          </w:p>
        </w:tc>
        <w:tc>
          <w:tcPr>
            <w:tcW w:type="dxa" w:w="2232"/>
            <w:vAlign w:val="center"/>
          </w:tcPr>
          <w:p>
            <w:r/>
            <w:r>
              <w:rPr>
                <w:b w:val="0"/>
                <w:sz w:val="16"/>
              </w:rPr>
              <w:t>SEAT_GRANT</w:t>
            </w:r>
          </w:p>
        </w:tc>
        <w:tc>
          <w:tcPr>
            <w:tcW w:type="dxa" w:w="5760"/>
            <w:vAlign w:val="center"/>
          </w:tcPr>
          <w:p>
            <w:r/>
            <w:r>
              <w:rPr>
                <w:b w:val="0"/>
                <w:sz w:val="16"/>
              </w:rPr>
              <w:t>Available while the associated seat entitlement is active; release cadence is configured.</w:t>
            </w:r>
          </w:p>
        </w:tc>
      </w:tr>
      <w:tr>
        <w:tc>
          <w:tcPr>
            <w:tcW w:type="dxa" w:w="2232"/>
            <w:vAlign w:val="center"/>
          </w:tcPr>
          <w:p>
            <w:r/>
            <w:r>
              <w:rPr>
                <w:b w:val="0"/>
                <w:sz w:val="16"/>
              </w:rPr>
              <w:t>Capacity Boost</w:t>
            </w:r>
          </w:p>
        </w:tc>
        <w:tc>
          <w:tcPr>
            <w:tcW w:type="dxa" w:w="2232"/>
            <w:vAlign w:val="center"/>
          </w:tcPr>
          <w:p>
            <w:r/>
            <w:r>
              <w:rPr>
                <w:b w:val="0"/>
                <w:sz w:val="16"/>
              </w:rPr>
              <w:t>BOOST_PURCHASE</w:t>
            </w:r>
          </w:p>
        </w:tc>
        <w:tc>
          <w:tcPr>
            <w:tcW w:type="dxa" w:w="5760"/>
            <w:vAlign w:val="center"/>
          </w:tcPr>
          <w:p>
            <w:r/>
            <w:r>
              <w:rPr>
                <w:b w:val="0"/>
                <w:sz w:val="16"/>
              </w:rPr>
              <w:t>Expiry/non-expiry defined by boost product and local law/policy.</w:t>
            </w:r>
          </w:p>
        </w:tc>
      </w:tr>
      <w:tr>
        <w:tc>
          <w:tcPr>
            <w:tcW w:type="dxa" w:w="2232"/>
            <w:vAlign w:val="center"/>
          </w:tcPr>
          <w:p>
            <w:r/>
            <w:r>
              <w:rPr>
                <w:b w:val="0"/>
                <w:sz w:val="16"/>
              </w:rPr>
              <w:t>Courtesy/admin adjustment</w:t>
            </w:r>
          </w:p>
        </w:tc>
        <w:tc>
          <w:tcPr>
            <w:tcW w:type="dxa" w:w="2232"/>
            <w:vAlign w:val="center"/>
          </w:tcPr>
          <w:p>
            <w:r/>
            <w:r>
              <w:rPr>
                <w:b w:val="0"/>
                <w:sz w:val="16"/>
              </w:rPr>
              <w:t>ADJUSTMENT</w:t>
            </w:r>
          </w:p>
        </w:tc>
        <w:tc>
          <w:tcPr>
            <w:tcW w:type="dxa" w:w="5760"/>
            <w:vAlign w:val="center"/>
          </w:tcPr>
          <w:p>
            <w:r/>
            <w:r>
              <w:rPr>
                <w:b w:val="0"/>
                <w:sz w:val="16"/>
              </w:rPr>
              <w:t>Explicit reason, actor and optional expiry.</w:t>
            </w:r>
          </w:p>
        </w:tc>
      </w:tr>
      <w:tr>
        <w:tc>
          <w:tcPr>
            <w:tcW w:type="dxa" w:w="2232"/>
            <w:vAlign w:val="center"/>
          </w:tcPr>
          <w:p>
            <w:r/>
            <w:r>
              <w:rPr>
                <w:b w:val="0"/>
                <w:sz w:val="16"/>
              </w:rPr>
              <w:t>Refund/reversal</w:t>
            </w:r>
          </w:p>
        </w:tc>
        <w:tc>
          <w:tcPr>
            <w:tcW w:type="dxa" w:w="2232"/>
            <w:vAlign w:val="center"/>
          </w:tcPr>
          <w:p>
            <w:r/>
            <w:r>
              <w:rPr>
                <w:b w:val="0"/>
                <w:sz w:val="16"/>
              </w:rPr>
              <w:t>REVERSAL</w:t>
            </w:r>
          </w:p>
        </w:tc>
        <w:tc>
          <w:tcPr>
            <w:tcW w:type="dxa" w:w="5760"/>
            <w:vAlign w:val="center"/>
          </w:tcPr>
          <w:p>
            <w:r/>
            <w:r>
              <w:rPr>
                <w:b w:val="0"/>
                <w:sz w:val="16"/>
              </w:rPr>
              <w:t>Offsets a prior entry; never edits history.</w:t>
            </w:r>
          </w:p>
        </w:tc>
      </w:tr>
      <w:tr>
        <w:tc>
          <w:tcPr>
            <w:tcW w:type="dxa" w:w="2232"/>
            <w:vAlign w:val="center"/>
          </w:tcPr>
          <w:p>
            <w:r/>
            <w:r>
              <w:rPr>
                <w:b w:val="0"/>
                <w:sz w:val="16"/>
              </w:rPr>
              <w:t>Usage settlement</w:t>
            </w:r>
          </w:p>
        </w:tc>
        <w:tc>
          <w:tcPr>
            <w:tcW w:type="dxa" w:w="2232"/>
            <w:vAlign w:val="center"/>
          </w:tcPr>
          <w:p>
            <w:r/>
            <w:r>
              <w:rPr>
                <w:b w:val="0"/>
                <w:sz w:val="16"/>
              </w:rPr>
              <w:t>USAGE_DEBIT</w:t>
            </w:r>
          </w:p>
        </w:tc>
        <w:tc>
          <w:tcPr>
            <w:tcW w:type="dxa" w:w="5760"/>
            <w:vAlign w:val="center"/>
          </w:tcPr>
          <w:p>
            <w:r/>
            <w:r>
              <w:rPr>
                <w:b w:val="0"/>
                <w:sz w:val="16"/>
              </w:rPr>
              <w:t>Actual normalized cost of completed/partially completed task.</w:t>
            </w:r>
          </w:p>
        </w:tc>
      </w:tr>
      <w:tr>
        <w:tc>
          <w:tcPr>
            <w:tcW w:type="dxa" w:w="2232"/>
            <w:vAlign w:val="center"/>
          </w:tcPr>
          <w:p>
            <w:r/>
            <w:r>
              <w:rPr>
                <w:b w:val="0"/>
                <w:sz w:val="16"/>
              </w:rPr>
              <w:t>Reservation</w:t>
            </w:r>
          </w:p>
        </w:tc>
        <w:tc>
          <w:tcPr>
            <w:tcW w:type="dxa" w:w="2232"/>
            <w:vAlign w:val="center"/>
          </w:tcPr>
          <w:p>
            <w:r/>
            <w:r>
              <w:rPr>
                <w:b w:val="0"/>
                <w:sz w:val="16"/>
              </w:rPr>
              <w:t>RESERVATION</w:t>
            </w:r>
          </w:p>
        </w:tc>
        <w:tc>
          <w:tcPr>
            <w:tcW w:type="dxa" w:w="5760"/>
            <w:vAlign w:val="center"/>
          </w:tcPr>
          <w:p>
            <w:r/>
            <w:r>
              <w:rPr>
                <w:b w:val="0"/>
                <w:sz w:val="16"/>
              </w:rPr>
              <w:t>Temporary hold; expires/released if job does not settle.</w:t>
            </w:r>
          </w:p>
        </w:tc>
      </w:tr>
    </w:tbl>
    <w:p/>
    <w:p>
      <w:pPr>
        <w:pStyle w:val="Heading1"/>
      </w:pPr>
      <w:r>
        <w:t>22. Capacity Engine Transaction Flow</w:t>
      </w:r>
    </w:p>
    <w:p>
      <w:pPr>
        <w:pStyle w:val="ListNumber"/>
      </w:pPr>
      <w:r>
        <w:t>Module submits UsageQuoteRequest with workspaceId, projectId, userId, feature, action, requested scope and idempotencyKey.</w:t>
      </w:r>
    </w:p>
    <w:p>
      <w:pPr>
        <w:pStyle w:val="ListNumber"/>
      </w:pPr>
      <w:r>
        <w:t>Capacity Engine verifies subscription state, feature entitlement, fair usage and project/client restrictions.</w:t>
      </w:r>
    </w:p>
    <w:p>
      <w:pPr>
        <w:pStyle w:val="ListNumber"/>
      </w:pPr>
      <w:r>
        <w:t>Estimator returns expected capacity range and customer-facing estimate.</w:t>
      </w:r>
    </w:p>
    <w:p>
      <w:pPr>
        <w:pStyle w:val="ListNumber"/>
      </w:pPr>
      <w:r>
        <w:t>On confirmation, Capacity Engine creates a reservation atomically.</w:t>
      </w:r>
    </w:p>
    <w:p>
      <w:pPr>
        <w:pStyle w:val="ListNumber"/>
      </w:pPr>
      <w:r>
        <w:t>AI Orchestrator/worker performs the task using the least-cost suitable provider/model.</w:t>
      </w:r>
    </w:p>
    <w:p>
      <w:pPr>
        <w:pStyle w:val="ListNumber"/>
      </w:pPr>
      <w:r>
        <w:t>Worker reports actual provider usage, normalized internal cost, completion status and reusable artifacts.</w:t>
      </w:r>
    </w:p>
    <w:p>
      <w:pPr>
        <w:pStyle w:val="ListNumber"/>
      </w:pPr>
      <w:r>
        <w:t>Capacity Engine settles actual usage against reservation, releases unused reservation or records additional approved debit within tolerance.</w:t>
      </w:r>
    </w:p>
    <w:p>
      <w:pPr>
        <w:pStyle w:val="ListNumber"/>
      </w:pPr>
      <w:r>
        <w:t>If actual usage exceeds configured tolerance, require an additional authorization/reservation rather than allowing an uncontrolled negative balance.</w:t>
      </w:r>
    </w:p>
    <w:p>
      <w:pPr>
        <w:pStyle w:val="ListNumber"/>
      </w:pPr>
      <w:r>
        <w:t>Failed jobs charge only policy-approved consumed work; fully failed pre-execution jobs release reservation.</w:t>
      </w:r>
    </w:p>
    <w:p>
      <w:pPr>
        <w:pStyle w:val="ListNumber"/>
      </w:pPr>
      <w:r>
        <w:t>Ledger, usage event and audit records are immutable.</w:t>
      </w:r>
    </w:p>
    <w:p>
      <w:pPr>
        <w:pStyle w:val="Heading1"/>
      </w:pPr>
      <w:r>
        <w:t>23. AI Orchestrator Interaction</w:t>
      </w:r>
    </w:p>
    <w:p>
      <w:pPr>
        <w:pStyle w:val="ListBullet"/>
      </w:pPr>
      <w:r>
        <w:t>No platform module may call an AI provider directly.</w:t>
      </w:r>
    </w:p>
    <w:p>
      <w:pPr>
        <w:pStyle w:val="ListBullet"/>
      </w:pPr>
      <w:r>
        <w:t>The Capacity Engine authorizes and reserves normalized customer capacity before execution.</w:t>
      </w:r>
    </w:p>
    <w:p>
      <w:pPr>
        <w:pStyle w:val="ListBullet"/>
      </w:pPr>
      <w:r>
        <w:t>The AI Orchestrator selects the least expensive provider/model capable of meeting task quality, reliability and latency requirements.</w:t>
      </w:r>
    </w:p>
    <w:p>
      <w:pPr>
        <w:pStyle w:val="ListBullet"/>
      </w:pPr>
      <w:r>
        <w:t>Provider cost is an internal operational metric and is not equal to the customer-facing capacity debit.</w:t>
      </w:r>
    </w:p>
    <w:p>
      <w:pPr>
        <w:pStyle w:val="ListBullet"/>
      </w:pPr>
      <w:r>
        <w:t>The orchestrator returns actual model/provider cost, tokens/units, retries, fallback steps and quality-validation results for internal accounting.</w:t>
      </w:r>
    </w:p>
    <w:p>
      <w:pPr>
        <w:pStyle w:val="ListBullet"/>
      </w:pPr>
      <w:r>
        <w:t>Provider/model names remain hidden from standard customer UI.</w:t>
      </w:r>
    </w:p>
    <w:p>
      <w:pPr>
        <w:pStyle w:val="ListBullet"/>
      </w:pPr>
      <w:r>
        <w:t>Routing changes must not alter a customer’s quoted capacity after reservation except within configured tolerance or with renewed authorization.</w:t>
      </w:r>
    </w:p>
    <w:p>
      <w:pPr>
        <w:pStyle w:val="Heading1"/>
      </w:pPr>
      <w:r>
        <w:t>24. Capacity Allocation and Forecasting</w:t>
      </w:r>
    </w:p>
    <w:p>
      <w:pPr>
        <w:pStyle w:val="ListBullet"/>
      </w:pPr>
      <w:r>
        <w:t>Capacity belongs to the workspace. Owner/Admin may optionally allocate budgets to projects; allocations are governance envelopes, not separate purchased balances.</w:t>
      </w:r>
    </w:p>
    <w:p>
      <w:pPr>
        <w:pStyle w:val="ListBullet"/>
      </w:pPr>
      <w:r>
        <w:t>Project allocation cannot exceed available workspace balance and may be soft (warning) or hard (block) by configuration.</w:t>
      </w:r>
    </w:p>
    <w:p>
      <w:pPr>
        <w:pStyle w:val="ListBullet"/>
      </w:pPr>
      <w:r>
        <w:t>Agency Owners may allocate capacity by client/project while preserving one workspace ledger.</w:t>
      </w:r>
    </w:p>
    <w:p>
      <w:pPr>
        <w:pStyle w:val="ListBullet"/>
      </w:pPr>
      <w:r>
        <w:t>Forecasting uses trailing usage, scheduled jobs, Growth Blueprint backlog, average task cost and remaining cycle days.</w:t>
      </w:r>
    </w:p>
    <w:p>
      <w:pPr>
        <w:pStyle w:val="ListBullet"/>
      </w:pPr>
      <w:r>
        <w:t>UI must show remaining balance, reserved balance, projected end-of-cycle balance, next grant date and major usage categories.</w:t>
      </w:r>
    </w:p>
    <w:p>
      <w:pPr>
        <w:pStyle w:val="ListBullet"/>
      </w:pPr>
      <w:r>
        <w:t>Forecasts are advisory and must be labelled as estimates.</w:t>
      </w:r>
    </w:p>
    <w:p>
      <w:pPr>
        <w:pStyle w:val="Heading1"/>
      </w:pPr>
      <w:r>
        <w:t>25. Capacity Alerts</w:t>
      </w:r>
    </w:p>
    <w:tbl>
      <w:tblPr>
        <w:tblStyle w:val="TableGrid"/>
        <w:tblW w:type="auto" w:w="0"/>
        <w:jc w:val="center"/>
        <w:tblLook w:firstColumn="1" w:firstRow="1" w:lastColumn="0" w:lastRow="0" w:noHBand="0" w:noVBand="1" w:val="04A0"/>
      </w:tblPr>
      <w:tblGrid>
        <w:gridCol w:w="5083"/>
        <w:gridCol w:w="5083"/>
      </w:tblGrid>
      <w:tr>
        <w:tc>
          <w:tcPr>
            <w:tcW w:type="dxa" w:w="3600"/>
            <w:shd w:fill="17365D"/>
            <w:vAlign w:val="center"/>
          </w:tcPr>
          <w:p>
            <w:r/>
            <w:r>
              <w:rPr>
                <w:b/>
                <w:color w:val="FFFFFF"/>
                <w:sz w:val="16"/>
              </w:rPr>
              <w:t>Threshold/Event</w:t>
            </w:r>
          </w:p>
        </w:tc>
        <w:tc>
          <w:tcPr>
            <w:tcW w:type="dxa" w:w="6696"/>
            <w:shd w:fill="17365D"/>
            <w:vAlign w:val="center"/>
          </w:tcPr>
          <w:p>
            <w:r/>
            <w:r>
              <w:rPr>
                <w:b/>
                <w:color w:val="FFFFFF"/>
                <w:sz w:val="16"/>
              </w:rPr>
              <w:t>Notification</w:t>
            </w:r>
          </w:p>
        </w:tc>
      </w:tr>
      <w:tr>
        <w:tc>
          <w:tcPr>
            <w:tcW w:type="dxa" w:w="3600"/>
            <w:vAlign w:val="center"/>
          </w:tcPr>
          <w:p>
            <w:r/>
            <w:r>
              <w:rPr>
                <w:b w:val="0"/>
                <w:sz w:val="16"/>
              </w:rPr>
              <w:t>Configured percentage remaining (for example policy thresholds)</w:t>
            </w:r>
          </w:p>
        </w:tc>
        <w:tc>
          <w:tcPr>
            <w:tcW w:type="dxa" w:w="6696"/>
            <w:vAlign w:val="center"/>
          </w:tcPr>
          <w:p>
            <w:r/>
            <w:r>
              <w:rPr>
                <w:b w:val="0"/>
                <w:sz w:val="16"/>
              </w:rPr>
              <w:t>In-app and optional email warning.</w:t>
            </w:r>
          </w:p>
        </w:tc>
      </w:tr>
      <w:tr>
        <w:tc>
          <w:tcPr>
            <w:tcW w:type="dxa" w:w="3600"/>
            <w:vAlign w:val="center"/>
          </w:tcPr>
          <w:p>
            <w:r/>
            <w:r>
              <w:rPr>
                <w:b w:val="0"/>
                <w:sz w:val="16"/>
              </w:rPr>
              <w:t>Forecasted depletion before next grant</w:t>
            </w:r>
          </w:p>
        </w:tc>
        <w:tc>
          <w:tcPr>
            <w:tcW w:type="dxa" w:w="6696"/>
            <w:vAlign w:val="center"/>
          </w:tcPr>
          <w:p>
            <w:r/>
            <w:r>
              <w:rPr>
                <w:b w:val="0"/>
                <w:sz w:val="16"/>
              </w:rPr>
              <w:t>Owner/Admin alert with optimization and Boost options.</w:t>
            </w:r>
          </w:p>
        </w:tc>
      </w:tr>
      <w:tr>
        <w:tc>
          <w:tcPr>
            <w:tcW w:type="dxa" w:w="3600"/>
            <w:vAlign w:val="center"/>
          </w:tcPr>
          <w:p>
            <w:r/>
            <w:r>
              <w:rPr>
                <w:b w:val="0"/>
                <w:sz w:val="16"/>
              </w:rPr>
              <w:t>Insufficient capacity at action time</w:t>
            </w:r>
          </w:p>
        </w:tc>
        <w:tc>
          <w:tcPr>
            <w:tcW w:type="dxa" w:w="6696"/>
            <w:vAlign w:val="center"/>
          </w:tcPr>
          <w:p>
            <w:r/>
            <w:r>
              <w:rPr>
                <w:b w:val="0"/>
                <w:sz w:val="16"/>
              </w:rPr>
              <w:t>Block with estimate, next grant date and purchase/approval options.</w:t>
            </w:r>
          </w:p>
        </w:tc>
      </w:tr>
      <w:tr>
        <w:tc>
          <w:tcPr>
            <w:tcW w:type="dxa" w:w="3600"/>
            <w:vAlign w:val="center"/>
          </w:tcPr>
          <w:p>
            <w:r/>
            <w:r>
              <w:rPr>
                <w:b w:val="0"/>
                <w:sz w:val="16"/>
              </w:rPr>
              <w:t>Unusual spike or abuse signal</w:t>
            </w:r>
          </w:p>
        </w:tc>
        <w:tc>
          <w:tcPr>
            <w:tcW w:type="dxa" w:w="6696"/>
            <w:vAlign w:val="center"/>
          </w:tcPr>
          <w:p>
            <w:r/>
            <w:r>
              <w:rPr>
                <w:b w:val="0"/>
                <w:sz w:val="16"/>
              </w:rPr>
              <w:t>Internal alert; customer notice only when appropriate.</w:t>
            </w:r>
          </w:p>
        </w:tc>
      </w:tr>
      <w:tr>
        <w:tc>
          <w:tcPr>
            <w:tcW w:type="dxa" w:w="3600"/>
            <w:vAlign w:val="center"/>
          </w:tcPr>
          <w:p>
            <w:r/>
            <w:r>
              <w:rPr>
                <w:b w:val="0"/>
                <w:sz w:val="16"/>
              </w:rPr>
              <w:t>Boost purchase/expiry</w:t>
            </w:r>
          </w:p>
        </w:tc>
        <w:tc>
          <w:tcPr>
            <w:tcW w:type="dxa" w:w="6696"/>
            <w:vAlign w:val="center"/>
          </w:tcPr>
          <w:p>
            <w:r/>
            <w:r>
              <w:rPr>
                <w:b w:val="0"/>
                <w:sz w:val="16"/>
              </w:rPr>
              <w:t>Receipt plus updated balance/expiry.</w:t>
            </w:r>
          </w:p>
        </w:tc>
      </w:tr>
      <w:tr>
        <w:tc>
          <w:tcPr>
            <w:tcW w:type="dxa" w:w="3600"/>
            <w:vAlign w:val="center"/>
          </w:tcPr>
          <w:p>
            <w:r/>
            <w:r>
              <w:rPr>
                <w:b w:val="0"/>
                <w:sz w:val="16"/>
              </w:rPr>
              <w:t>Reservation stuck/expired</w:t>
            </w:r>
          </w:p>
        </w:tc>
        <w:tc>
          <w:tcPr>
            <w:tcW w:type="dxa" w:w="6696"/>
            <w:vAlign w:val="center"/>
          </w:tcPr>
          <w:p>
            <w:r/>
            <w:r>
              <w:rPr>
                <w:b w:val="0"/>
                <w:sz w:val="16"/>
              </w:rPr>
              <w:t>Automatic release and internal error telemetry.</w:t>
            </w:r>
          </w:p>
        </w:tc>
      </w:tr>
    </w:tbl>
    <w:p/>
    <w:p>
      <w:pPr>
        <w:pStyle w:val="Heading1"/>
      </w:pPr>
      <w:r>
        <w:t>26. Capacity Boost Implementation</w:t>
      </w:r>
    </w:p>
    <w:p>
      <w:pPr>
        <w:pStyle w:val="ListBullet"/>
      </w:pPr>
      <w:r>
        <w:t>Capacity Boost is an add-on product with a defined capacity amount, currency price, eligibility, expiry rule and refund rule.</w:t>
      </w:r>
    </w:p>
    <w:p>
      <w:pPr>
        <w:pStyle w:val="ListBullet"/>
      </w:pPr>
      <w:r>
        <w:t>Boost purchase creates Payment and CapacityLedger entries only after confirmed payment.</w:t>
      </w:r>
    </w:p>
    <w:p>
      <w:pPr>
        <w:pStyle w:val="ListBullet"/>
      </w:pPr>
      <w:r>
        <w:t>Boosts add to the shared workspace pool and do not increase project, client or seat limits.</w:t>
      </w:r>
    </w:p>
    <w:p>
      <w:pPr>
        <w:pStyle w:val="ListBullet"/>
      </w:pPr>
      <w:r>
        <w:t>Optional auto-replenishment requires explicit opt-in, spend cap, trigger threshold and revocation controls.</w:t>
      </w:r>
    </w:p>
    <w:p>
      <w:pPr>
        <w:pStyle w:val="ListBullet"/>
      </w:pPr>
      <w:r>
        <w:t>Boost usage order is configurable (for example earliest-expiring first) and must be deterministic.</w:t>
      </w:r>
    </w:p>
    <w:p>
      <w:pPr>
        <w:pStyle w:val="ListBullet"/>
      </w:pPr>
      <w:r>
        <w:t>Chargeback/refund reverses unconsumed boost capacity first; consumed amounts create a recoverable negative/owed state or support case according to policy.</w:t>
      </w:r>
    </w:p>
    <w:p>
      <w:pPr>
        <w:pStyle w:val="ListBullet"/>
      </w:pPr>
      <w:r>
        <w:t>Affiliates may receive commission on eligible expansions only as governed by the external affiliate rules; entitlement logic must not depend on commission state.</w:t>
      </w:r>
    </w:p>
    <w:p>
      <w:pPr>
        <w:pStyle w:val="Heading1"/>
      </w:pPr>
      <w:r>
        <w:t>27. Fair Usage and Abuse Controls</w:t>
      </w:r>
    </w:p>
    <w:p>
      <w:pPr>
        <w:pStyle w:val="ListBullet"/>
      </w:pPr>
      <w:r>
        <w:t>Fair Usage supplements, but does not replace, numeric capacity metering.</w:t>
      </w:r>
    </w:p>
    <w:p>
      <w:pPr>
        <w:pStyle w:val="ListBullet"/>
      </w:pPr>
      <w:r>
        <w:t>Controls may include concurrency limits, daily generation limits, maximum batch size, crawl rate limits, publishing rate limits, seat reassignment cooldown, duplicate generation detection and prohibited automation patterns.</w:t>
      </w:r>
    </w:p>
    <w:p>
      <w:pPr>
        <w:pStyle w:val="ListBullet"/>
      </w:pPr>
      <w:r>
        <w:t>Growth Engine recommendations do not create an entitlement to generate the entire long-term roadmap immediately.</w:t>
      </w:r>
    </w:p>
    <w:p>
      <w:pPr>
        <w:pStyle w:val="ListBullet"/>
      </w:pPr>
      <w:r>
        <w:t>Large content backlogs are staged through Growth Blueprint queues and available monthly capacity.</w:t>
      </w:r>
    </w:p>
    <w:p>
      <w:pPr>
        <w:pStyle w:val="ListBullet"/>
      </w:pPr>
      <w:r>
        <w:t>Abuse enforcement follows WARNING -&gt; THROTTLED -&gt; REVIEW -&gt; SUSPENDED, except urgent security/legal cases.</w:t>
      </w:r>
    </w:p>
    <w:p>
      <w:pPr>
        <w:pStyle w:val="ListBullet"/>
      </w:pPr>
      <w:r>
        <w:t>Every enforcement decision must include machine-readable reason code, evidence reference, review status and audit event.</w:t>
      </w:r>
    </w:p>
    <w:p>
      <w:pPr>
        <w:pStyle w:val="ListBullet"/>
      </w:pPr>
      <w:r>
        <w:t>Customer-facing messages must explain the restriction without exposing anti-abuse thresholds that enable evasion.</w:t>
      </w:r>
    </w:p>
    <w:p>
      <w:pPr>
        <w:pStyle w:val="Heading1"/>
      </w:pPr>
      <w:r>
        <w:t>28. Billing Event Flows</w:t>
      </w:r>
    </w:p>
    <w:tbl>
      <w:tblPr>
        <w:tblStyle w:val="TableGrid"/>
        <w:tblW w:type="auto" w:w="0"/>
        <w:jc w:val="center"/>
        <w:tblLook w:firstColumn="1" w:firstRow="1" w:lastColumn="0" w:lastRow="0" w:noHBand="0" w:noVBand="1" w:val="04A0"/>
      </w:tblPr>
      <w:tblGrid>
        <w:gridCol w:w="5083"/>
        <w:gridCol w:w="5083"/>
      </w:tblGrid>
      <w:tr>
        <w:tc>
          <w:tcPr>
            <w:tcW w:type="dxa" w:w="3240"/>
            <w:shd w:fill="17365D"/>
            <w:vAlign w:val="center"/>
          </w:tcPr>
          <w:p>
            <w:r/>
            <w:r>
              <w:rPr>
                <w:b/>
                <w:color w:val="FFFFFF"/>
                <w:sz w:val="16"/>
              </w:rPr>
              <w:t>Normalized Event</w:t>
            </w:r>
          </w:p>
        </w:tc>
        <w:tc>
          <w:tcPr>
            <w:tcW w:type="dxa" w:w="7056"/>
            <w:shd w:fill="17365D"/>
            <w:vAlign w:val="center"/>
          </w:tcPr>
          <w:p>
            <w:r/>
            <w:r>
              <w:rPr>
                <w:b/>
                <w:color w:val="FFFFFF"/>
                <w:sz w:val="16"/>
              </w:rPr>
              <w:t>Required Handling</w:t>
            </w:r>
          </w:p>
        </w:tc>
      </w:tr>
      <w:tr>
        <w:tc>
          <w:tcPr>
            <w:tcW w:type="dxa" w:w="3240"/>
            <w:vAlign w:val="center"/>
          </w:tcPr>
          <w:p>
            <w:r/>
            <w:r>
              <w:rPr>
                <w:b w:val="0"/>
                <w:sz w:val="16"/>
              </w:rPr>
              <w:t>CHECKOUT_COMPLETED</w:t>
            </w:r>
          </w:p>
        </w:tc>
        <w:tc>
          <w:tcPr>
            <w:tcW w:type="dxa" w:w="7056"/>
            <w:vAlign w:val="center"/>
          </w:tcPr>
          <w:p>
            <w:r/>
            <w:r>
              <w:rPr>
                <w:b w:val="0"/>
                <w:sz w:val="16"/>
              </w:rPr>
              <w:t>Create/reconcile customer, workspace subscription, price/version, founding markers and initial entitlements.</w:t>
            </w:r>
          </w:p>
        </w:tc>
      </w:tr>
      <w:tr>
        <w:tc>
          <w:tcPr>
            <w:tcW w:type="dxa" w:w="3240"/>
            <w:vAlign w:val="center"/>
          </w:tcPr>
          <w:p>
            <w:r/>
            <w:r>
              <w:rPr>
                <w:b w:val="0"/>
                <w:sz w:val="16"/>
              </w:rPr>
              <w:t>PAYMENT_SUCCEEDED</w:t>
            </w:r>
          </w:p>
        </w:tc>
        <w:tc>
          <w:tcPr>
            <w:tcW w:type="dxa" w:w="7056"/>
            <w:vAlign w:val="center"/>
          </w:tcPr>
          <w:p>
            <w:r/>
            <w:r>
              <w:rPr>
                <w:b w:val="0"/>
                <w:sz w:val="16"/>
              </w:rPr>
              <w:t>Record payment/invoice, activate or renew term, clear past-due state, issue grants due.</w:t>
            </w:r>
          </w:p>
        </w:tc>
      </w:tr>
      <w:tr>
        <w:tc>
          <w:tcPr>
            <w:tcW w:type="dxa" w:w="3240"/>
            <w:vAlign w:val="center"/>
          </w:tcPr>
          <w:p>
            <w:r/>
            <w:r>
              <w:rPr>
                <w:b w:val="0"/>
                <w:sz w:val="16"/>
              </w:rPr>
              <w:t>PAYMENT_FAILED</w:t>
            </w:r>
          </w:p>
        </w:tc>
        <w:tc>
          <w:tcPr>
            <w:tcW w:type="dxa" w:w="7056"/>
            <w:vAlign w:val="center"/>
          </w:tcPr>
          <w:p>
            <w:r/>
            <w:r>
              <w:rPr>
                <w:b w:val="0"/>
                <w:sz w:val="16"/>
              </w:rPr>
              <w:t>Enter PAST_DUE, schedule notices/reconciliation.</w:t>
            </w:r>
          </w:p>
        </w:tc>
      </w:tr>
      <w:tr>
        <w:tc>
          <w:tcPr>
            <w:tcW w:type="dxa" w:w="3240"/>
            <w:vAlign w:val="center"/>
          </w:tcPr>
          <w:p>
            <w:r/>
            <w:r>
              <w:rPr>
                <w:b w:val="0"/>
                <w:sz w:val="16"/>
              </w:rPr>
              <w:t>SUBSCRIPTION_UPDATED</w:t>
            </w:r>
          </w:p>
        </w:tc>
        <w:tc>
          <w:tcPr>
            <w:tcW w:type="dxa" w:w="7056"/>
            <w:vAlign w:val="center"/>
          </w:tcPr>
          <w:p>
            <w:r/>
            <w:r>
              <w:rPr>
                <w:b w:val="0"/>
                <w:sz w:val="16"/>
              </w:rPr>
              <w:t>Validate expected change request; reconcile external quantity/price with internal state.</w:t>
            </w:r>
          </w:p>
        </w:tc>
      </w:tr>
      <w:tr>
        <w:tc>
          <w:tcPr>
            <w:tcW w:type="dxa" w:w="3240"/>
            <w:vAlign w:val="center"/>
          </w:tcPr>
          <w:p>
            <w:r/>
            <w:r>
              <w:rPr>
                <w:b w:val="0"/>
                <w:sz w:val="16"/>
              </w:rPr>
              <w:t>SUBSCRIPTION_CANCEL_SCHEDULED</w:t>
            </w:r>
          </w:p>
        </w:tc>
        <w:tc>
          <w:tcPr>
            <w:tcW w:type="dxa" w:w="7056"/>
            <w:vAlign w:val="center"/>
          </w:tcPr>
          <w:p>
            <w:r/>
            <w:r>
              <w:rPr>
                <w:b w:val="0"/>
                <w:sz w:val="16"/>
              </w:rPr>
              <w:t>Set cancelAtPeriodEnd and paid-through date.</w:t>
            </w:r>
          </w:p>
        </w:tc>
      </w:tr>
      <w:tr>
        <w:tc>
          <w:tcPr>
            <w:tcW w:type="dxa" w:w="3240"/>
            <w:vAlign w:val="center"/>
          </w:tcPr>
          <w:p>
            <w:r/>
            <w:r>
              <w:rPr>
                <w:b w:val="0"/>
                <w:sz w:val="16"/>
              </w:rPr>
              <w:t>SUBSCRIPTION_CANCELLED</w:t>
            </w:r>
          </w:p>
        </w:tc>
        <w:tc>
          <w:tcPr>
            <w:tcW w:type="dxa" w:w="7056"/>
            <w:vAlign w:val="center"/>
          </w:tcPr>
          <w:p>
            <w:r/>
            <w:r>
              <w:rPr>
                <w:b w:val="0"/>
                <w:sz w:val="16"/>
              </w:rPr>
              <w:t>Apply cancelled/read-only/retention policy.</w:t>
            </w:r>
          </w:p>
        </w:tc>
      </w:tr>
      <w:tr>
        <w:tc>
          <w:tcPr>
            <w:tcW w:type="dxa" w:w="3240"/>
            <w:vAlign w:val="center"/>
          </w:tcPr>
          <w:p>
            <w:r/>
            <w:r>
              <w:rPr>
                <w:b w:val="0"/>
                <w:sz w:val="16"/>
              </w:rPr>
              <w:t>REFUND</w:t>
            </w:r>
          </w:p>
        </w:tc>
        <w:tc>
          <w:tcPr>
            <w:tcW w:type="dxa" w:w="7056"/>
            <w:vAlign w:val="center"/>
          </w:tcPr>
          <w:p>
            <w:r/>
            <w:r>
              <w:rPr>
                <w:b w:val="0"/>
                <w:sz w:val="16"/>
              </w:rPr>
              <w:t>Record refund and entitlement/capacity consequences according to policy.</w:t>
            </w:r>
          </w:p>
        </w:tc>
      </w:tr>
      <w:tr>
        <w:tc>
          <w:tcPr>
            <w:tcW w:type="dxa" w:w="3240"/>
            <w:vAlign w:val="center"/>
          </w:tcPr>
          <w:p>
            <w:r/>
            <w:r>
              <w:rPr>
                <w:b w:val="0"/>
                <w:sz w:val="16"/>
              </w:rPr>
              <w:t>CHARGEBACK</w:t>
            </w:r>
          </w:p>
        </w:tc>
        <w:tc>
          <w:tcPr>
            <w:tcW w:type="dxa" w:w="7056"/>
            <w:vAlign w:val="center"/>
          </w:tcPr>
          <w:p>
            <w:r/>
            <w:r>
              <w:rPr>
                <w:b w:val="0"/>
                <w:sz w:val="16"/>
              </w:rPr>
              <w:t>Suspend/review, reverse eligible entitlements and preserve evidence.</w:t>
            </w:r>
          </w:p>
        </w:tc>
      </w:tr>
      <w:tr>
        <w:tc>
          <w:tcPr>
            <w:tcW w:type="dxa" w:w="3240"/>
            <w:vAlign w:val="center"/>
          </w:tcPr>
          <w:p>
            <w:r/>
            <w:r>
              <w:rPr>
                <w:b w:val="0"/>
                <w:sz w:val="16"/>
              </w:rPr>
              <w:t>ADDON_PURCHASED</w:t>
            </w:r>
          </w:p>
        </w:tc>
        <w:tc>
          <w:tcPr>
            <w:tcW w:type="dxa" w:w="7056"/>
            <w:vAlign w:val="center"/>
          </w:tcPr>
          <w:p>
            <w:r/>
            <w:r>
              <w:rPr>
                <w:b w:val="0"/>
                <w:sz w:val="16"/>
              </w:rPr>
              <w:t>Activate seat/boost entitlement after payment.</w:t>
            </w:r>
          </w:p>
        </w:tc>
      </w:tr>
      <w:tr>
        <w:tc>
          <w:tcPr>
            <w:tcW w:type="dxa" w:w="3240"/>
            <w:vAlign w:val="center"/>
          </w:tcPr>
          <w:p>
            <w:r/>
            <w:r>
              <w:rPr>
                <w:b w:val="0"/>
                <w:sz w:val="16"/>
              </w:rPr>
              <w:t>ADDON_RENEWED/REMOVED</w:t>
            </w:r>
          </w:p>
        </w:tc>
        <w:tc>
          <w:tcPr>
            <w:tcW w:type="dxa" w:w="7056"/>
            <w:vAlign w:val="center"/>
          </w:tcPr>
          <w:p>
            <w:r/>
            <w:r>
              <w:rPr>
                <w:b w:val="0"/>
                <w:sz w:val="16"/>
              </w:rPr>
              <w:t>Reconcile quantities and effective dates.</w:t>
            </w:r>
          </w:p>
        </w:tc>
      </w:tr>
    </w:tbl>
    <w:p/>
    <w:p>
      <w:pPr>
        <w:pStyle w:val="Heading1"/>
      </w:pPr>
      <w:r>
        <w:t>29. Provider Adapter Requirements</w:t>
      </w:r>
    </w:p>
    <w:p>
      <w:pPr>
        <w:pStyle w:val="ListBullet"/>
      </w:pPr>
      <w:r>
        <w:t>Adapters must verify signatures, preserve raw payloads securely, normalize provider IDs and create deterministic idempotency keys.</w:t>
      </w:r>
    </w:p>
    <w:p>
      <w:pPr>
        <w:pStyle w:val="ListBullet"/>
      </w:pPr>
      <w:r>
        <w:t>Webhook order cannot be trusted. Event processing must compare effective timestamps and reconcile against provider state.</w:t>
      </w:r>
    </w:p>
    <w:p>
      <w:pPr>
        <w:pStyle w:val="ListBullet"/>
      </w:pPr>
      <w:r>
        <w:t>Provider checkout success pages are not proof of payment; authoritative server-side events/reconciliation are required.</w:t>
      </w:r>
    </w:p>
    <w:p>
      <w:pPr>
        <w:pStyle w:val="ListBullet"/>
      </w:pPr>
      <w:r>
        <w:t>External billing identifiers must be mapped through BillingProviderReference records.</w:t>
      </w:r>
    </w:p>
    <w:p>
      <w:pPr>
        <w:pStyle w:val="ListBullet"/>
      </w:pPr>
      <w:r>
        <w:t>JVZoo launch checkout and later direct sales must converge into the same internal Subscription and Entitlement services.</w:t>
      </w:r>
    </w:p>
    <w:p>
      <w:pPr>
        <w:pStyle w:val="ListBullet"/>
      </w:pPr>
      <w:r>
        <w:t>Provider outages must queue events and support replay without duplicate grants or charges.</w:t>
      </w:r>
    </w:p>
    <w:p>
      <w:pPr>
        <w:pStyle w:val="Heading1"/>
      </w:pPr>
      <w:r>
        <w:t>30. Legacy Customer Recognition</w:t>
      </w:r>
    </w:p>
    <w:p>
      <w:pPr>
        <w:pStyle w:val="ListBullet"/>
      </w:pPr>
      <w:r>
        <w:t>Legacy recognition is a verified benefit attached to a new paid workspace subscription; it is not a standalone active SEnuke AI subscription.</w:t>
      </w:r>
    </w:p>
    <w:p>
      <w:pPr>
        <w:pStyle w:val="ListBullet"/>
      </w:pPr>
      <w:r>
        <w:t>Create LegacyClaim with claimant identity, evidence, verification status, legacy product, decision, verifier and timestamps.</w:t>
      </w:r>
    </w:p>
    <w:p>
      <w:pPr>
        <w:pStyle w:val="ListBullet"/>
      </w:pPr>
      <w:r>
        <w:t>Approved benefits are represented as explicit entitlements/add-ons (for example one complimentary additional seat) rather than hard-coded role exceptions.</w:t>
      </w:r>
    </w:p>
    <w:p>
      <w:pPr>
        <w:pStyle w:val="ListBullet"/>
      </w:pPr>
      <w:r>
        <w:t>Each legacy benefit defines qualifying plans/campaigns, whether transferable, duration and behaviour on cancellation/reactivation.</w:t>
      </w:r>
    </w:p>
    <w:p>
      <w:pPr>
        <w:pStyle w:val="ListBullet"/>
      </w:pPr>
      <w:r>
        <w:t>Prevent duplicate claims across identities/workspaces through normalized evidence fingerprints and manual review tools.</w:t>
      </w:r>
    </w:p>
    <w:p>
      <w:pPr>
        <w:pStyle w:val="ListBullet"/>
      </w:pPr>
      <w:r>
        <w:t>Never imply legacy lifetime ownership creates lifetime access to SEnuke AI.</w:t>
      </w:r>
    </w:p>
    <w:p>
      <w:pPr>
        <w:pStyle w:val="Heading1"/>
      </w:pPr>
      <w:r>
        <w:t>31. Data Retention and Permanent Deletion</w:t>
      </w:r>
    </w:p>
    <w:p>
      <w:pPr>
        <w:pStyle w:val="ListNumber"/>
      </w:pPr>
      <w:r>
        <w:t>Cancellation/non-payment changes workspace access state but does not immediately delete data.</w:t>
      </w:r>
    </w:p>
    <w:p>
      <w:pPr>
        <w:pStyle w:val="ListNumber"/>
      </w:pPr>
      <w:r>
        <w:t>At cancellation, store retentionPolicyVersion and retentionEndsAt.</w:t>
      </w:r>
    </w:p>
    <w:p>
      <w:pPr>
        <w:pStyle w:val="ListNumber"/>
      </w:pPr>
      <w:r>
        <w:t>Send notices before retention expiry using configured schedule.</w:t>
      </w:r>
    </w:p>
    <w:p>
      <w:pPr>
        <w:pStyle w:val="ListNumber"/>
      </w:pPr>
      <w:r>
        <w:t>Owner may reactivate during retention if commercially eligible.</w:t>
      </w:r>
    </w:p>
    <w:p>
      <w:pPr>
        <w:pStyle w:val="ListNumber"/>
      </w:pPr>
      <w:r>
        <w:t>At retention expiry, move to DELETION_SCHEDULED and create a deletion job with recovery hold if policy requires.</w:t>
      </w:r>
    </w:p>
    <w:p>
      <w:pPr>
        <w:pStyle w:val="ListNumber"/>
      </w:pPr>
      <w:r>
        <w:t>Permanently delete customer content, generated assets, credentials, integrations, project/client data and personal data not legally required.</w:t>
      </w:r>
    </w:p>
    <w:p>
      <w:pPr>
        <w:pStyle w:val="ListNumber"/>
      </w:pPr>
      <w:r>
        <w:t>Retain minimal invoices, payments, tax, chargeback and audit evidence as legally required, separated from deleted operational data.</w:t>
      </w:r>
    </w:p>
    <w:p>
      <w:pPr>
        <w:pStyle w:val="ListNumber"/>
      </w:pPr>
      <w:r>
        <w:t>Deletion must cascade safely, revoke secrets, cancel schedules and produce a signed internal deletion report.</w:t>
      </w:r>
    </w:p>
    <w:p>
      <w:pPr>
        <w:pStyle w:val="ListNumber"/>
      </w:pPr>
      <w:r>
        <w:t>Permanent deletion is irreversible; UI requires explicit confirmation, re-authentication and clear explanation.</w:t>
      </w:r>
    </w:p>
    <w:p>
      <w:pPr>
        <w:pStyle w:val="Heading1"/>
      </w:pPr>
      <w:r>
        <w:t>32. Required Database Entities</w:t>
      </w:r>
    </w:p>
    <w:tbl>
      <w:tblPr>
        <w:tblStyle w:val="TableGrid"/>
        <w:tblW w:type="auto" w:w="0"/>
        <w:jc w:val="center"/>
        <w:tblLook w:firstColumn="1" w:firstRow="1" w:lastColumn="0" w:lastRow="0" w:noHBand="0" w:noVBand="1" w:val="04A0"/>
      </w:tblPr>
      <w:tblGrid>
        <w:gridCol w:w="5083"/>
        <w:gridCol w:w="5083"/>
      </w:tblGrid>
      <w:tr>
        <w:tc>
          <w:tcPr>
            <w:tcW w:type="dxa" w:w="2448"/>
            <w:shd w:fill="17365D"/>
            <w:vAlign w:val="center"/>
          </w:tcPr>
          <w:p>
            <w:r/>
            <w:r>
              <w:rPr>
                <w:b/>
                <w:color w:val="FFFFFF"/>
                <w:sz w:val="15"/>
              </w:rPr>
              <w:t>Entity</w:t>
            </w:r>
          </w:p>
        </w:tc>
        <w:tc>
          <w:tcPr>
            <w:tcW w:type="dxa" w:w="7848"/>
            <w:shd w:fill="17365D"/>
            <w:vAlign w:val="center"/>
          </w:tcPr>
          <w:p>
            <w:r/>
            <w:r>
              <w:rPr>
                <w:b/>
                <w:color w:val="FFFFFF"/>
                <w:sz w:val="15"/>
              </w:rPr>
              <w:t>Purpose / Required Fields</w:t>
            </w:r>
          </w:p>
        </w:tc>
      </w:tr>
      <w:tr>
        <w:tc>
          <w:tcPr>
            <w:tcW w:type="dxa" w:w="2448"/>
            <w:vAlign w:val="center"/>
          </w:tcPr>
          <w:p>
            <w:r/>
            <w:r>
              <w:rPr>
                <w:b w:val="0"/>
                <w:sz w:val="15"/>
              </w:rPr>
              <w:t>Workspace</w:t>
            </w:r>
          </w:p>
        </w:tc>
        <w:tc>
          <w:tcPr>
            <w:tcW w:type="dxa" w:w="7848"/>
            <w:vAlign w:val="center"/>
          </w:tcPr>
          <w:p>
            <w:r/>
            <w:r>
              <w:rPr>
                <w:b w:val="0"/>
                <w:sz w:val="15"/>
              </w:rPr>
              <w:t>commercialState, accessMode, ownerMembershipId, deletion fields</w:t>
            </w:r>
          </w:p>
        </w:tc>
      </w:tr>
      <w:tr>
        <w:tc>
          <w:tcPr>
            <w:tcW w:type="dxa" w:w="2448"/>
            <w:vAlign w:val="center"/>
          </w:tcPr>
          <w:p>
            <w:r/>
            <w:r>
              <w:rPr>
                <w:b w:val="0"/>
                <w:sz w:val="15"/>
              </w:rPr>
              <w:t>WorkspaceMembership</w:t>
            </w:r>
          </w:p>
        </w:tc>
        <w:tc>
          <w:tcPr>
            <w:tcW w:type="dxa" w:w="7848"/>
            <w:vAlign w:val="center"/>
          </w:tcPr>
          <w:p>
            <w:r/>
            <w:r>
              <w:rPr>
                <w:b w:val="0"/>
                <w:sz w:val="15"/>
              </w:rPr>
              <w:t>userId, role, seatAssignmentId, client scopes, status</w:t>
            </w:r>
          </w:p>
        </w:tc>
      </w:tr>
      <w:tr>
        <w:tc>
          <w:tcPr>
            <w:tcW w:type="dxa" w:w="2448"/>
            <w:vAlign w:val="center"/>
          </w:tcPr>
          <w:p>
            <w:r/>
            <w:r>
              <w:rPr>
                <w:b w:val="0"/>
                <w:sz w:val="15"/>
              </w:rPr>
              <w:t>AgencyClient</w:t>
            </w:r>
          </w:p>
        </w:tc>
        <w:tc>
          <w:tcPr>
            <w:tcW w:type="dxa" w:w="7848"/>
            <w:vAlign w:val="center"/>
          </w:tcPr>
          <w:p>
            <w:r/>
            <w:r>
              <w:rPr>
                <w:b w:val="0"/>
                <w:sz w:val="15"/>
              </w:rPr>
              <w:t>workspaceId, status, archivedAt</w:t>
            </w:r>
          </w:p>
        </w:tc>
      </w:tr>
      <w:tr>
        <w:tc>
          <w:tcPr>
            <w:tcW w:type="dxa" w:w="2448"/>
            <w:vAlign w:val="center"/>
          </w:tcPr>
          <w:p>
            <w:r/>
            <w:r>
              <w:rPr>
                <w:b w:val="0"/>
                <w:sz w:val="15"/>
              </w:rPr>
              <w:t>Project</w:t>
            </w:r>
          </w:p>
        </w:tc>
        <w:tc>
          <w:tcPr>
            <w:tcW w:type="dxa" w:w="7848"/>
            <w:vAlign w:val="center"/>
          </w:tcPr>
          <w:p>
            <w:r/>
            <w:r>
              <w:rPr>
                <w:b w:val="0"/>
                <w:sz w:val="15"/>
              </w:rPr>
              <w:t>workspaceId, agencyClientId, lifecycleStatus</w:t>
            </w:r>
          </w:p>
        </w:tc>
      </w:tr>
      <w:tr>
        <w:tc>
          <w:tcPr>
            <w:tcW w:type="dxa" w:w="2448"/>
            <w:vAlign w:val="center"/>
          </w:tcPr>
          <w:p>
            <w:r/>
            <w:r>
              <w:rPr>
                <w:b w:val="0"/>
                <w:sz w:val="15"/>
              </w:rPr>
              <w:t>Plan</w:t>
            </w:r>
          </w:p>
        </w:tc>
        <w:tc>
          <w:tcPr>
            <w:tcW w:type="dxa" w:w="7848"/>
            <w:vAlign w:val="center"/>
          </w:tcPr>
          <w:p>
            <w:r/>
            <w:r>
              <w:rPr>
                <w:b w:val="0"/>
                <w:sz w:val="15"/>
              </w:rPr>
              <w:t>catalog identity</w:t>
            </w:r>
          </w:p>
        </w:tc>
      </w:tr>
      <w:tr>
        <w:tc>
          <w:tcPr>
            <w:tcW w:type="dxa" w:w="2448"/>
            <w:vAlign w:val="center"/>
          </w:tcPr>
          <w:p>
            <w:r/>
            <w:r>
              <w:rPr>
                <w:b w:val="0"/>
                <w:sz w:val="15"/>
              </w:rPr>
              <w:t>PlanVersion</w:t>
            </w:r>
          </w:p>
        </w:tc>
        <w:tc>
          <w:tcPr>
            <w:tcW w:type="dxa" w:w="7848"/>
            <w:vAlign w:val="center"/>
          </w:tcPr>
          <w:p>
            <w:r/>
            <w:r>
              <w:rPr>
                <w:b w:val="0"/>
                <w:sz w:val="15"/>
              </w:rPr>
              <w:t>immutable entitlements/limits</w:t>
            </w:r>
          </w:p>
        </w:tc>
      </w:tr>
      <w:tr>
        <w:tc>
          <w:tcPr>
            <w:tcW w:type="dxa" w:w="2448"/>
            <w:vAlign w:val="center"/>
          </w:tcPr>
          <w:p>
            <w:r/>
            <w:r>
              <w:rPr>
                <w:b w:val="0"/>
                <w:sz w:val="15"/>
              </w:rPr>
              <w:t>Price</w:t>
            </w:r>
          </w:p>
        </w:tc>
        <w:tc>
          <w:tcPr>
            <w:tcW w:type="dxa" w:w="7848"/>
            <w:vAlign w:val="center"/>
          </w:tcPr>
          <w:p>
            <w:r/>
            <w:r>
              <w:rPr>
                <w:b w:val="0"/>
                <w:sz w:val="15"/>
              </w:rPr>
              <w:t>amount/currency/interval/class/provider refs</w:t>
            </w:r>
          </w:p>
        </w:tc>
      </w:tr>
      <w:tr>
        <w:tc>
          <w:tcPr>
            <w:tcW w:type="dxa" w:w="2448"/>
            <w:vAlign w:val="center"/>
          </w:tcPr>
          <w:p>
            <w:r/>
            <w:r>
              <w:rPr>
                <w:b w:val="0"/>
                <w:sz w:val="15"/>
              </w:rPr>
              <w:t>PolicyVersion</w:t>
            </w:r>
          </w:p>
        </w:tc>
        <w:tc>
          <w:tcPr>
            <w:tcW w:type="dxa" w:w="7848"/>
            <w:vAlign w:val="center"/>
          </w:tcPr>
          <w:p>
            <w:r/>
            <w:r>
              <w:rPr>
                <w:b w:val="0"/>
                <w:sz w:val="15"/>
              </w:rPr>
              <w:t>lifecycle/capacity/retention/fair-use rules</w:t>
            </w:r>
          </w:p>
        </w:tc>
      </w:tr>
      <w:tr>
        <w:tc>
          <w:tcPr>
            <w:tcW w:type="dxa" w:w="2448"/>
            <w:vAlign w:val="center"/>
          </w:tcPr>
          <w:p>
            <w:r/>
            <w:r>
              <w:rPr>
                <w:b w:val="0"/>
                <w:sz w:val="15"/>
              </w:rPr>
              <w:t>CommercialCampaign</w:t>
            </w:r>
          </w:p>
        </w:tc>
        <w:tc>
          <w:tcPr>
            <w:tcW w:type="dxa" w:w="7848"/>
            <w:vAlign w:val="center"/>
          </w:tcPr>
          <w:p>
            <w:r/>
            <w:r>
              <w:rPr>
                <w:b w:val="0"/>
                <w:sz w:val="15"/>
              </w:rPr>
              <w:t>Founding eligibility window</w:t>
            </w:r>
          </w:p>
        </w:tc>
      </w:tr>
      <w:tr>
        <w:tc>
          <w:tcPr>
            <w:tcW w:type="dxa" w:w="2448"/>
            <w:vAlign w:val="center"/>
          </w:tcPr>
          <w:p>
            <w:r/>
            <w:r>
              <w:rPr>
                <w:b w:val="0"/>
                <w:sz w:val="15"/>
              </w:rPr>
              <w:t>Subscription</w:t>
            </w:r>
          </w:p>
        </w:tc>
        <w:tc>
          <w:tcPr>
            <w:tcW w:type="dxa" w:w="7848"/>
            <w:vAlign w:val="center"/>
          </w:tcPr>
          <w:p>
            <w:r/>
            <w:r>
              <w:rPr>
                <w:b w:val="0"/>
                <w:sz w:val="15"/>
              </w:rPr>
              <w:t>workspaceId, planVersionId, priceId, status, billing anchor, period dates, founding fields</w:t>
            </w:r>
          </w:p>
        </w:tc>
      </w:tr>
      <w:tr>
        <w:tc>
          <w:tcPr>
            <w:tcW w:type="dxa" w:w="2448"/>
            <w:vAlign w:val="center"/>
          </w:tcPr>
          <w:p>
            <w:r/>
            <w:r>
              <w:rPr>
                <w:b w:val="0"/>
                <w:sz w:val="15"/>
              </w:rPr>
              <w:t>SubscriptionChangeRequest</w:t>
            </w:r>
          </w:p>
        </w:tc>
        <w:tc>
          <w:tcPr>
            <w:tcW w:type="dxa" w:w="7848"/>
            <w:vAlign w:val="center"/>
          </w:tcPr>
          <w:p>
            <w:r/>
            <w:r>
              <w:rPr>
                <w:b w:val="0"/>
                <w:sz w:val="15"/>
              </w:rPr>
              <w:t>upgrade/downgrade/conversion intent and quote</w:t>
            </w:r>
          </w:p>
        </w:tc>
      </w:tr>
      <w:tr>
        <w:tc>
          <w:tcPr>
            <w:tcW w:type="dxa" w:w="2448"/>
            <w:vAlign w:val="center"/>
          </w:tcPr>
          <w:p>
            <w:r/>
            <w:r>
              <w:rPr>
                <w:b w:val="0"/>
                <w:sz w:val="15"/>
              </w:rPr>
              <w:t>AddOnSubscription</w:t>
            </w:r>
          </w:p>
        </w:tc>
        <w:tc>
          <w:tcPr>
            <w:tcW w:type="dxa" w:w="7848"/>
            <w:vAlign w:val="center"/>
          </w:tcPr>
          <w:p>
            <w:r/>
            <w:r>
              <w:rPr>
                <w:b w:val="0"/>
                <w:sz w:val="15"/>
              </w:rPr>
              <w:t>seat/boost/other entitlement</w:t>
            </w:r>
          </w:p>
        </w:tc>
      </w:tr>
      <w:tr>
        <w:tc>
          <w:tcPr>
            <w:tcW w:type="dxa" w:w="2448"/>
            <w:vAlign w:val="center"/>
          </w:tcPr>
          <w:p>
            <w:r/>
            <w:r>
              <w:rPr>
                <w:b w:val="0"/>
                <w:sz w:val="15"/>
              </w:rPr>
              <w:t>SeatEntitlement</w:t>
            </w:r>
          </w:p>
        </w:tc>
        <w:tc>
          <w:tcPr>
            <w:tcW w:type="dxa" w:w="7848"/>
            <w:vAlign w:val="center"/>
          </w:tcPr>
          <w:p>
            <w:r/>
            <w:r>
              <w:rPr>
                <w:b w:val="0"/>
                <w:sz w:val="15"/>
              </w:rPr>
              <w:t>included/paid/complimentary quantity</w:t>
            </w:r>
          </w:p>
        </w:tc>
      </w:tr>
      <w:tr>
        <w:tc>
          <w:tcPr>
            <w:tcW w:type="dxa" w:w="2448"/>
            <w:vAlign w:val="center"/>
          </w:tcPr>
          <w:p>
            <w:r/>
            <w:r>
              <w:rPr>
                <w:b w:val="0"/>
                <w:sz w:val="15"/>
              </w:rPr>
              <w:t>SeatAssignment</w:t>
            </w:r>
          </w:p>
        </w:tc>
        <w:tc>
          <w:tcPr>
            <w:tcW w:type="dxa" w:w="7848"/>
            <w:vAlign w:val="center"/>
          </w:tcPr>
          <w:p>
            <w:r/>
            <w:r>
              <w:rPr>
                <w:b w:val="0"/>
                <w:sz w:val="15"/>
              </w:rPr>
              <w:t>membership assignment/status/effective dates</w:t>
            </w:r>
          </w:p>
        </w:tc>
      </w:tr>
      <w:tr>
        <w:tc>
          <w:tcPr>
            <w:tcW w:type="dxa" w:w="2448"/>
            <w:vAlign w:val="center"/>
          </w:tcPr>
          <w:p>
            <w:r/>
            <w:r>
              <w:rPr>
                <w:b w:val="0"/>
                <w:sz w:val="15"/>
              </w:rPr>
              <w:t>EntitlementOverride</w:t>
            </w:r>
          </w:p>
        </w:tc>
        <w:tc>
          <w:tcPr>
            <w:tcW w:type="dxa" w:w="7848"/>
            <w:vAlign w:val="center"/>
          </w:tcPr>
          <w:p>
            <w:r/>
            <w:r>
              <w:rPr>
                <w:b w:val="0"/>
                <w:sz w:val="15"/>
              </w:rPr>
              <w:t>controlled additive/restrictive override</w:t>
            </w:r>
          </w:p>
        </w:tc>
      </w:tr>
      <w:tr>
        <w:tc>
          <w:tcPr>
            <w:tcW w:type="dxa" w:w="2448"/>
            <w:vAlign w:val="center"/>
          </w:tcPr>
          <w:p>
            <w:r/>
            <w:r>
              <w:rPr>
                <w:b w:val="0"/>
                <w:sz w:val="15"/>
              </w:rPr>
              <w:t>CapacityAccount</w:t>
            </w:r>
          </w:p>
        </w:tc>
        <w:tc>
          <w:tcPr>
            <w:tcW w:type="dxa" w:w="7848"/>
            <w:vAlign w:val="center"/>
          </w:tcPr>
          <w:p>
            <w:r/>
            <w:r>
              <w:rPr>
                <w:b w:val="0"/>
                <w:sz w:val="15"/>
              </w:rPr>
              <w:t>cached balance and cycle</w:t>
            </w:r>
          </w:p>
        </w:tc>
      </w:tr>
      <w:tr>
        <w:tc>
          <w:tcPr>
            <w:tcW w:type="dxa" w:w="2448"/>
            <w:vAlign w:val="center"/>
          </w:tcPr>
          <w:p>
            <w:r/>
            <w:r>
              <w:rPr>
                <w:b w:val="0"/>
                <w:sz w:val="15"/>
              </w:rPr>
              <w:t>CapacityLedgerEntry</w:t>
            </w:r>
          </w:p>
        </w:tc>
        <w:tc>
          <w:tcPr>
            <w:tcW w:type="dxa" w:w="7848"/>
            <w:vAlign w:val="center"/>
          </w:tcPr>
          <w:p>
            <w:r/>
            <w:r>
              <w:rPr>
                <w:b w:val="0"/>
                <w:sz w:val="15"/>
              </w:rPr>
              <w:t>append-only grants/debits/reservations/reversals</w:t>
            </w:r>
          </w:p>
        </w:tc>
      </w:tr>
      <w:tr>
        <w:tc>
          <w:tcPr>
            <w:tcW w:type="dxa" w:w="2448"/>
            <w:vAlign w:val="center"/>
          </w:tcPr>
          <w:p>
            <w:r/>
            <w:r>
              <w:rPr>
                <w:b w:val="0"/>
                <w:sz w:val="15"/>
              </w:rPr>
              <w:t>CapacityReservation</w:t>
            </w:r>
          </w:p>
        </w:tc>
        <w:tc>
          <w:tcPr>
            <w:tcW w:type="dxa" w:w="7848"/>
            <w:vAlign w:val="center"/>
          </w:tcPr>
          <w:p>
            <w:r/>
            <w:r>
              <w:rPr>
                <w:b w:val="0"/>
                <w:sz w:val="15"/>
              </w:rPr>
              <w:t>task estimate/expiry/settlement</w:t>
            </w:r>
          </w:p>
        </w:tc>
      </w:tr>
      <w:tr>
        <w:tc>
          <w:tcPr>
            <w:tcW w:type="dxa" w:w="2448"/>
            <w:vAlign w:val="center"/>
          </w:tcPr>
          <w:p>
            <w:r/>
            <w:r>
              <w:rPr>
                <w:b w:val="0"/>
                <w:sz w:val="15"/>
              </w:rPr>
              <w:t>UsageEvent</w:t>
            </w:r>
          </w:p>
        </w:tc>
        <w:tc>
          <w:tcPr>
            <w:tcW w:type="dxa" w:w="7848"/>
            <w:vAlign w:val="center"/>
          </w:tcPr>
          <w:p>
            <w:r/>
            <w:r>
              <w:rPr>
                <w:b w:val="0"/>
                <w:sz w:val="15"/>
              </w:rPr>
              <w:t>feature/action/internal cost/customer debit</w:t>
            </w:r>
          </w:p>
        </w:tc>
      </w:tr>
      <w:tr>
        <w:tc>
          <w:tcPr>
            <w:tcW w:type="dxa" w:w="2448"/>
            <w:vAlign w:val="center"/>
          </w:tcPr>
          <w:p>
            <w:r/>
            <w:r>
              <w:rPr>
                <w:b w:val="0"/>
                <w:sz w:val="15"/>
              </w:rPr>
              <w:t>CapacityAllocation</w:t>
            </w:r>
          </w:p>
        </w:tc>
        <w:tc>
          <w:tcPr>
            <w:tcW w:type="dxa" w:w="7848"/>
            <w:vAlign w:val="center"/>
          </w:tcPr>
          <w:p>
            <w:r/>
            <w:r>
              <w:rPr>
                <w:b w:val="0"/>
                <w:sz w:val="15"/>
              </w:rPr>
              <w:t>project/client budget envelope</w:t>
            </w:r>
          </w:p>
        </w:tc>
      </w:tr>
      <w:tr>
        <w:tc>
          <w:tcPr>
            <w:tcW w:type="dxa" w:w="2448"/>
            <w:vAlign w:val="center"/>
          </w:tcPr>
          <w:p>
            <w:r/>
            <w:r>
              <w:rPr>
                <w:b w:val="0"/>
                <w:sz w:val="15"/>
              </w:rPr>
              <w:t>CapacityForecast</w:t>
            </w:r>
          </w:p>
        </w:tc>
        <w:tc>
          <w:tcPr>
            <w:tcW w:type="dxa" w:w="7848"/>
            <w:vAlign w:val="center"/>
          </w:tcPr>
          <w:p>
            <w:r/>
            <w:r>
              <w:rPr>
                <w:b w:val="0"/>
                <w:sz w:val="15"/>
              </w:rPr>
              <w:t>generated projection snapshot</w:t>
            </w:r>
          </w:p>
        </w:tc>
      </w:tr>
      <w:tr>
        <w:tc>
          <w:tcPr>
            <w:tcW w:type="dxa" w:w="2448"/>
            <w:vAlign w:val="center"/>
          </w:tcPr>
          <w:p>
            <w:r/>
            <w:r>
              <w:rPr>
                <w:b w:val="0"/>
                <w:sz w:val="15"/>
              </w:rPr>
              <w:t>BillingCustomer</w:t>
            </w:r>
          </w:p>
        </w:tc>
        <w:tc>
          <w:tcPr>
            <w:tcW w:type="dxa" w:w="7848"/>
            <w:vAlign w:val="center"/>
          </w:tcPr>
          <w:p>
            <w:r/>
            <w:r>
              <w:rPr>
                <w:b w:val="0"/>
                <w:sz w:val="15"/>
              </w:rPr>
              <w:t>provider-neutral customer mapping</w:t>
            </w:r>
          </w:p>
        </w:tc>
      </w:tr>
      <w:tr>
        <w:tc>
          <w:tcPr>
            <w:tcW w:type="dxa" w:w="2448"/>
            <w:vAlign w:val="center"/>
          </w:tcPr>
          <w:p>
            <w:r/>
            <w:r>
              <w:rPr>
                <w:b w:val="0"/>
                <w:sz w:val="15"/>
              </w:rPr>
              <w:t>BillingProviderReference</w:t>
            </w:r>
          </w:p>
        </w:tc>
        <w:tc>
          <w:tcPr>
            <w:tcW w:type="dxa" w:w="7848"/>
            <w:vAlign w:val="center"/>
          </w:tcPr>
          <w:p>
            <w:r/>
            <w:r>
              <w:rPr>
                <w:b w:val="0"/>
                <w:sz w:val="15"/>
              </w:rPr>
              <w:t>provider object IDs</w:t>
            </w:r>
          </w:p>
        </w:tc>
      </w:tr>
      <w:tr>
        <w:tc>
          <w:tcPr>
            <w:tcW w:type="dxa" w:w="2448"/>
            <w:vAlign w:val="center"/>
          </w:tcPr>
          <w:p>
            <w:r/>
            <w:r>
              <w:rPr>
                <w:b w:val="0"/>
                <w:sz w:val="15"/>
              </w:rPr>
              <w:t>Invoice</w:t>
            </w:r>
          </w:p>
        </w:tc>
        <w:tc>
          <w:tcPr>
            <w:tcW w:type="dxa" w:w="7848"/>
            <w:vAlign w:val="center"/>
          </w:tcPr>
          <w:p>
            <w:r/>
            <w:r>
              <w:rPr>
                <w:b w:val="0"/>
                <w:sz w:val="15"/>
              </w:rPr>
              <w:t>amounts/status/period/provider ref</w:t>
            </w:r>
          </w:p>
        </w:tc>
      </w:tr>
      <w:tr>
        <w:tc>
          <w:tcPr>
            <w:tcW w:type="dxa" w:w="2448"/>
            <w:vAlign w:val="center"/>
          </w:tcPr>
          <w:p>
            <w:r/>
            <w:r>
              <w:rPr>
                <w:b w:val="0"/>
                <w:sz w:val="15"/>
              </w:rPr>
              <w:t>Payment</w:t>
            </w:r>
          </w:p>
        </w:tc>
        <w:tc>
          <w:tcPr>
            <w:tcW w:type="dxa" w:w="7848"/>
            <w:vAlign w:val="center"/>
          </w:tcPr>
          <w:p>
            <w:r/>
            <w:r>
              <w:rPr>
                <w:b w:val="0"/>
                <w:sz w:val="15"/>
              </w:rPr>
              <w:t>amount/status/method ref</w:t>
            </w:r>
          </w:p>
        </w:tc>
      </w:tr>
      <w:tr>
        <w:tc>
          <w:tcPr>
            <w:tcW w:type="dxa" w:w="2448"/>
            <w:vAlign w:val="center"/>
          </w:tcPr>
          <w:p>
            <w:r/>
            <w:r>
              <w:rPr>
                <w:b w:val="0"/>
                <w:sz w:val="15"/>
              </w:rPr>
              <w:t>Refund</w:t>
            </w:r>
          </w:p>
        </w:tc>
        <w:tc>
          <w:tcPr>
            <w:tcW w:type="dxa" w:w="7848"/>
            <w:vAlign w:val="center"/>
          </w:tcPr>
          <w:p>
            <w:r/>
            <w:r>
              <w:rPr>
                <w:b w:val="0"/>
                <w:sz w:val="15"/>
              </w:rPr>
              <w:t>amount/reason/provider ref</w:t>
            </w:r>
          </w:p>
        </w:tc>
      </w:tr>
      <w:tr>
        <w:tc>
          <w:tcPr>
            <w:tcW w:type="dxa" w:w="2448"/>
            <w:vAlign w:val="center"/>
          </w:tcPr>
          <w:p>
            <w:r/>
            <w:r>
              <w:rPr>
                <w:b w:val="0"/>
                <w:sz w:val="15"/>
              </w:rPr>
              <w:t>BillingEvent</w:t>
            </w:r>
          </w:p>
        </w:tc>
        <w:tc>
          <w:tcPr>
            <w:tcW w:type="dxa" w:w="7848"/>
            <w:vAlign w:val="center"/>
          </w:tcPr>
          <w:p>
            <w:r/>
            <w:r>
              <w:rPr>
                <w:b w:val="0"/>
                <w:sz w:val="15"/>
              </w:rPr>
              <w:t>raw/normalized event, idempotency, processing state</w:t>
            </w:r>
          </w:p>
        </w:tc>
      </w:tr>
      <w:tr>
        <w:tc>
          <w:tcPr>
            <w:tcW w:type="dxa" w:w="2448"/>
            <w:vAlign w:val="center"/>
          </w:tcPr>
          <w:p>
            <w:r/>
            <w:r>
              <w:rPr>
                <w:b w:val="0"/>
                <w:sz w:val="15"/>
              </w:rPr>
              <w:t>LegacyClaim</w:t>
            </w:r>
          </w:p>
        </w:tc>
        <w:tc>
          <w:tcPr>
            <w:tcW w:type="dxa" w:w="7848"/>
            <w:vAlign w:val="center"/>
          </w:tcPr>
          <w:p>
            <w:r/>
            <w:r>
              <w:rPr>
                <w:b w:val="0"/>
                <w:sz w:val="15"/>
              </w:rPr>
              <w:t>evidence and decision</w:t>
            </w:r>
          </w:p>
        </w:tc>
      </w:tr>
      <w:tr>
        <w:tc>
          <w:tcPr>
            <w:tcW w:type="dxa" w:w="2448"/>
            <w:vAlign w:val="center"/>
          </w:tcPr>
          <w:p>
            <w:r/>
            <w:r>
              <w:rPr>
                <w:b w:val="0"/>
                <w:sz w:val="15"/>
              </w:rPr>
              <w:t>CommercialAuditEvent</w:t>
            </w:r>
          </w:p>
        </w:tc>
        <w:tc>
          <w:tcPr>
            <w:tcW w:type="dxa" w:w="7848"/>
            <w:vAlign w:val="center"/>
          </w:tcPr>
          <w:p>
            <w:r/>
            <w:r>
              <w:rPr>
                <w:b w:val="0"/>
                <w:sz w:val="15"/>
              </w:rPr>
              <w:t>immutable actor/action/before/after/reason</w:t>
            </w:r>
          </w:p>
        </w:tc>
      </w:tr>
      <w:tr>
        <w:tc>
          <w:tcPr>
            <w:tcW w:type="dxa" w:w="2448"/>
            <w:vAlign w:val="center"/>
          </w:tcPr>
          <w:p>
            <w:r/>
            <w:r>
              <w:rPr>
                <w:b w:val="0"/>
                <w:sz w:val="15"/>
              </w:rPr>
              <w:t>Notification</w:t>
            </w:r>
          </w:p>
        </w:tc>
        <w:tc>
          <w:tcPr>
            <w:tcW w:type="dxa" w:w="7848"/>
            <w:vAlign w:val="center"/>
          </w:tcPr>
          <w:p>
            <w:r/>
            <w:r>
              <w:rPr>
                <w:b w:val="0"/>
                <w:sz w:val="15"/>
              </w:rPr>
              <w:t>channel/template/status</w:t>
            </w:r>
          </w:p>
        </w:tc>
      </w:tr>
      <w:tr>
        <w:tc>
          <w:tcPr>
            <w:tcW w:type="dxa" w:w="2448"/>
            <w:vAlign w:val="center"/>
          </w:tcPr>
          <w:p>
            <w:r/>
            <w:r>
              <w:rPr>
                <w:b w:val="0"/>
                <w:sz w:val="15"/>
              </w:rPr>
              <w:t>DataRetentionCase</w:t>
            </w:r>
          </w:p>
        </w:tc>
        <w:tc>
          <w:tcPr>
            <w:tcW w:type="dxa" w:w="7848"/>
            <w:vAlign w:val="center"/>
          </w:tcPr>
          <w:p>
            <w:r/>
            <w:r>
              <w:rPr>
                <w:b w:val="0"/>
                <w:sz w:val="15"/>
              </w:rPr>
              <w:t>retention/deletion state</w:t>
            </w:r>
          </w:p>
        </w:tc>
      </w:tr>
    </w:tbl>
    <w:p/>
    <w:p>
      <w:pPr>
        <w:pStyle w:val="Heading1"/>
      </w:pPr>
      <w:r>
        <w:t>33. Required APIs</w:t>
      </w:r>
    </w:p>
    <w:tbl>
      <w:tblPr>
        <w:tblStyle w:val="TableGrid"/>
        <w:tblW w:type="auto" w:w="0"/>
        <w:jc w:val="center"/>
        <w:tblLook w:firstColumn="1" w:firstRow="1" w:lastColumn="0" w:lastRow="0" w:noHBand="0" w:noVBand="1" w:val="04A0"/>
      </w:tblPr>
      <w:tblGrid>
        <w:gridCol w:w="5083"/>
        <w:gridCol w:w="5083"/>
      </w:tblGrid>
      <w:tr>
        <w:tc>
          <w:tcPr>
            <w:tcW w:type="dxa" w:w="4176"/>
            <w:shd w:fill="17365D"/>
            <w:vAlign w:val="center"/>
          </w:tcPr>
          <w:p>
            <w:r/>
            <w:r>
              <w:rPr>
                <w:b/>
                <w:color w:val="FFFFFF"/>
                <w:sz w:val="15"/>
              </w:rPr>
              <w:t>Endpoint</w:t>
            </w:r>
          </w:p>
        </w:tc>
        <w:tc>
          <w:tcPr>
            <w:tcW w:type="dxa" w:w="6120"/>
            <w:shd w:fill="17365D"/>
            <w:vAlign w:val="center"/>
          </w:tcPr>
          <w:p>
            <w:r/>
            <w:r>
              <w:rPr>
                <w:b/>
                <w:color w:val="FFFFFF"/>
                <w:sz w:val="15"/>
              </w:rPr>
              <w:t>Purpose</w:t>
            </w:r>
          </w:p>
        </w:tc>
      </w:tr>
      <w:tr>
        <w:tc>
          <w:tcPr>
            <w:tcW w:type="dxa" w:w="4176"/>
            <w:vAlign w:val="center"/>
          </w:tcPr>
          <w:p>
            <w:r/>
            <w:r>
              <w:rPr>
                <w:b w:val="0"/>
                <w:sz w:val="15"/>
              </w:rPr>
              <w:t>GET /commercial/catalog</w:t>
            </w:r>
          </w:p>
        </w:tc>
        <w:tc>
          <w:tcPr>
            <w:tcW w:type="dxa" w:w="6120"/>
            <w:vAlign w:val="center"/>
          </w:tcPr>
          <w:p>
            <w:r/>
            <w:r>
              <w:rPr>
                <w:b w:val="0"/>
                <w:sz w:val="15"/>
              </w:rPr>
              <w:t>Available plans/prices/add-ons for workspace/market/campaign.</w:t>
            </w:r>
          </w:p>
        </w:tc>
      </w:tr>
      <w:tr>
        <w:tc>
          <w:tcPr>
            <w:tcW w:type="dxa" w:w="4176"/>
            <w:vAlign w:val="center"/>
          </w:tcPr>
          <w:p>
            <w:r/>
            <w:r>
              <w:rPr>
                <w:b w:val="0"/>
                <w:sz w:val="15"/>
              </w:rPr>
              <w:t>GET /workspaces/{id}/entitlements</w:t>
            </w:r>
          </w:p>
        </w:tc>
        <w:tc>
          <w:tcPr>
            <w:tcW w:type="dxa" w:w="6120"/>
            <w:vAlign w:val="center"/>
          </w:tcPr>
          <w:p>
            <w:r/>
            <w:r>
              <w:rPr>
                <w:b w:val="0"/>
                <w:sz w:val="15"/>
              </w:rPr>
              <w:t>Effective feature and numeric entitlements.</w:t>
            </w:r>
          </w:p>
        </w:tc>
      </w:tr>
      <w:tr>
        <w:tc>
          <w:tcPr>
            <w:tcW w:type="dxa" w:w="4176"/>
            <w:vAlign w:val="center"/>
          </w:tcPr>
          <w:p>
            <w:r/>
            <w:r>
              <w:rPr>
                <w:b w:val="0"/>
                <w:sz w:val="15"/>
              </w:rPr>
              <w:t>GET /workspaces/{id}/subscription</w:t>
            </w:r>
          </w:p>
        </w:tc>
        <w:tc>
          <w:tcPr>
            <w:tcW w:type="dxa" w:w="6120"/>
            <w:vAlign w:val="center"/>
          </w:tcPr>
          <w:p>
            <w:r/>
            <w:r>
              <w:rPr>
                <w:b w:val="0"/>
                <w:sz w:val="15"/>
              </w:rPr>
              <w:t>Subscription/billing state.</w:t>
            </w:r>
          </w:p>
        </w:tc>
      </w:tr>
      <w:tr>
        <w:tc>
          <w:tcPr>
            <w:tcW w:type="dxa" w:w="4176"/>
            <w:vAlign w:val="center"/>
          </w:tcPr>
          <w:p>
            <w:r/>
            <w:r>
              <w:rPr>
                <w:b w:val="0"/>
                <w:sz w:val="15"/>
              </w:rPr>
              <w:t>POST /workspaces/{id}/subscription/quote-change</w:t>
            </w:r>
          </w:p>
        </w:tc>
        <w:tc>
          <w:tcPr>
            <w:tcW w:type="dxa" w:w="6120"/>
            <w:vAlign w:val="center"/>
          </w:tcPr>
          <w:p>
            <w:r/>
            <w:r>
              <w:rPr>
                <w:b w:val="0"/>
                <w:sz w:val="15"/>
              </w:rPr>
              <w:t>Quote upgrade/downgrade/conversion.</w:t>
            </w:r>
          </w:p>
        </w:tc>
      </w:tr>
      <w:tr>
        <w:tc>
          <w:tcPr>
            <w:tcW w:type="dxa" w:w="4176"/>
            <w:vAlign w:val="center"/>
          </w:tcPr>
          <w:p>
            <w:r/>
            <w:r>
              <w:rPr>
                <w:b w:val="0"/>
                <w:sz w:val="15"/>
              </w:rPr>
              <w:t>POST /workspaces/{id}/subscription/change</w:t>
            </w:r>
          </w:p>
        </w:tc>
        <w:tc>
          <w:tcPr>
            <w:tcW w:type="dxa" w:w="6120"/>
            <w:vAlign w:val="center"/>
          </w:tcPr>
          <w:p>
            <w:r/>
            <w:r>
              <w:rPr>
                <w:b w:val="0"/>
                <w:sz w:val="15"/>
              </w:rPr>
              <w:t>Apply confirmed change request.</w:t>
            </w:r>
          </w:p>
        </w:tc>
      </w:tr>
      <w:tr>
        <w:tc>
          <w:tcPr>
            <w:tcW w:type="dxa" w:w="4176"/>
            <w:vAlign w:val="center"/>
          </w:tcPr>
          <w:p>
            <w:r/>
            <w:r>
              <w:rPr>
                <w:b w:val="0"/>
                <w:sz w:val="15"/>
              </w:rPr>
              <w:t>POST /workspaces/{id}/subscription/cancel</w:t>
            </w:r>
          </w:p>
        </w:tc>
        <w:tc>
          <w:tcPr>
            <w:tcW w:type="dxa" w:w="6120"/>
            <w:vAlign w:val="center"/>
          </w:tcPr>
          <w:p>
            <w:r/>
            <w:r>
              <w:rPr>
                <w:b w:val="0"/>
                <w:sz w:val="15"/>
              </w:rPr>
              <w:t>Schedule or approved immediate cancellation.</w:t>
            </w:r>
          </w:p>
        </w:tc>
      </w:tr>
      <w:tr>
        <w:tc>
          <w:tcPr>
            <w:tcW w:type="dxa" w:w="4176"/>
            <w:vAlign w:val="center"/>
          </w:tcPr>
          <w:p>
            <w:r/>
            <w:r>
              <w:rPr>
                <w:b w:val="0"/>
                <w:sz w:val="15"/>
              </w:rPr>
              <w:t>POST /workspaces/{id}/subscription/reactivate</w:t>
            </w:r>
          </w:p>
        </w:tc>
        <w:tc>
          <w:tcPr>
            <w:tcW w:type="dxa" w:w="6120"/>
            <w:vAlign w:val="center"/>
          </w:tcPr>
          <w:p>
            <w:r/>
            <w:r>
              <w:rPr>
                <w:b w:val="0"/>
                <w:sz w:val="15"/>
              </w:rPr>
              <w:t>Reactivate when eligible.</w:t>
            </w:r>
          </w:p>
        </w:tc>
      </w:tr>
      <w:tr>
        <w:tc>
          <w:tcPr>
            <w:tcW w:type="dxa" w:w="4176"/>
            <w:vAlign w:val="center"/>
          </w:tcPr>
          <w:p>
            <w:r/>
            <w:r>
              <w:rPr>
                <w:b w:val="0"/>
                <w:sz w:val="15"/>
              </w:rPr>
              <w:t>GET /workspaces/{id}/seats</w:t>
            </w:r>
          </w:p>
        </w:tc>
        <w:tc>
          <w:tcPr>
            <w:tcW w:type="dxa" w:w="6120"/>
            <w:vAlign w:val="center"/>
          </w:tcPr>
          <w:p>
            <w:r/>
            <w:r>
              <w:rPr>
                <w:b w:val="0"/>
                <w:sz w:val="15"/>
              </w:rPr>
              <w:t>Entitlement and assignment state.</w:t>
            </w:r>
          </w:p>
        </w:tc>
      </w:tr>
      <w:tr>
        <w:tc>
          <w:tcPr>
            <w:tcW w:type="dxa" w:w="4176"/>
            <w:vAlign w:val="center"/>
          </w:tcPr>
          <w:p>
            <w:r/>
            <w:r>
              <w:rPr>
                <w:b w:val="0"/>
                <w:sz w:val="15"/>
              </w:rPr>
              <w:t>POST /workspaces/{id}/seats/quote</w:t>
            </w:r>
          </w:p>
        </w:tc>
        <w:tc>
          <w:tcPr>
            <w:tcW w:type="dxa" w:w="6120"/>
            <w:vAlign w:val="center"/>
          </w:tcPr>
          <w:p>
            <w:r/>
            <w:r>
              <w:rPr>
                <w:b w:val="0"/>
                <w:sz w:val="15"/>
              </w:rPr>
              <w:t>Quote quantity change.</w:t>
            </w:r>
          </w:p>
        </w:tc>
      </w:tr>
      <w:tr>
        <w:tc>
          <w:tcPr>
            <w:tcW w:type="dxa" w:w="4176"/>
            <w:vAlign w:val="center"/>
          </w:tcPr>
          <w:p>
            <w:r/>
            <w:r>
              <w:rPr>
                <w:b w:val="0"/>
                <w:sz w:val="15"/>
              </w:rPr>
              <w:t>POST /workspaces/{id}/seats/assign</w:t>
            </w:r>
          </w:p>
        </w:tc>
        <w:tc>
          <w:tcPr>
            <w:tcW w:type="dxa" w:w="6120"/>
            <w:vAlign w:val="center"/>
          </w:tcPr>
          <w:p>
            <w:r/>
            <w:r>
              <w:rPr>
                <w:b w:val="0"/>
                <w:sz w:val="15"/>
              </w:rPr>
              <w:t>Assign named seat.</w:t>
            </w:r>
          </w:p>
        </w:tc>
      </w:tr>
      <w:tr>
        <w:tc>
          <w:tcPr>
            <w:tcW w:type="dxa" w:w="4176"/>
            <w:vAlign w:val="center"/>
          </w:tcPr>
          <w:p>
            <w:r/>
            <w:r>
              <w:rPr>
                <w:b w:val="0"/>
                <w:sz w:val="15"/>
              </w:rPr>
              <w:t>DELETE /workspaces/{id}/seats/assignments/{id}</w:t>
            </w:r>
          </w:p>
        </w:tc>
        <w:tc>
          <w:tcPr>
            <w:tcW w:type="dxa" w:w="6120"/>
            <w:vAlign w:val="center"/>
          </w:tcPr>
          <w:p>
            <w:r/>
            <w:r>
              <w:rPr>
                <w:b w:val="0"/>
                <w:sz w:val="15"/>
              </w:rPr>
              <w:t>Unassign under policy.</w:t>
            </w:r>
          </w:p>
        </w:tc>
      </w:tr>
      <w:tr>
        <w:tc>
          <w:tcPr>
            <w:tcW w:type="dxa" w:w="4176"/>
            <w:vAlign w:val="center"/>
          </w:tcPr>
          <w:p>
            <w:r/>
            <w:r>
              <w:rPr>
                <w:b w:val="0"/>
                <w:sz w:val="15"/>
              </w:rPr>
              <w:t>GET /workspaces/{id}/capacity</w:t>
            </w:r>
          </w:p>
        </w:tc>
        <w:tc>
          <w:tcPr>
            <w:tcW w:type="dxa" w:w="6120"/>
            <w:vAlign w:val="center"/>
          </w:tcPr>
          <w:p>
            <w:r/>
            <w:r>
              <w:rPr>
                <w:b w:val="0"/>
                <w:sz w:val="15"/>
              </w:rPr>
              <w:t>Balance, reserved, cycle and forecast.</w:t>
            </w:r>
          </w:p>
        </w:tc>
      </w:tr>
      <w:tr>
        <w:tc>
          <w:tcPr>
            <w:tcW w:type="dxa" w:w="4176"/>
            <w:vAlign w:val="center"/>
          </w:tcPr>
          <w:p>
            <w:r/>
            <w:r>
              <w:rPr>
                <w:b w:val="0"/>
                <w:sz w:val="15"/>
              </w:rPr>
              <w:t>POST /capacity/quote</w:t>
            </w:r>
          </w:p>
        </w:tc>
        <w:tc>
          <w:tcPr>
            <w:tcW w:type="dxa" w:w="6120"/>
            <w:vAlign w:val="center"/>
          </w:tcPr>
          <w:p>
            <w:r/>
            <w:r>
              <w:rPr>
                <w:b w:val="0"/>
                <w:sz w:val="15"/>
              </w:rPr>
              <w:t>Estimate an action.</w:t>
            </w:r>
          </w:p>
        </w:tc>
      </w:tr>
      <w:tr>
        <w:tc>
          <w:tcPr>
            <w:tcW w:type="dxa" w:w="4176"/>
            <w:vAlign w:val="center"/>
          </w:tcPr>
          <w:p>
            <w:r/>
            <w:r>
              <w:rPr>
                <w:b w:val="0"/>
                <w:sz w:val="15"/>
              </w:rPr>
              <w:t>POST /capacity/reservations</w:t>
            </w:r>
          </w:p>
        </w:tc>
        <w:tc>
          <w:tcPr>
            <w:tcW w:type="dxa" w:w="6120"/>
            <w:vAlign w:val="center"/>
          </w:tcPr>
          <w:p>
            <w:r/>
            <w:r>
              <w:rPr>
                <w:b w:val="0"/>
                <w:sz w:val="15"/>
              </w:rPr>
              <w:t>Reserve capacity.</w:t>
            </w:r>
          </w:p>
        </w:tc>
      </w:tr>
      <w:tr>
        <w:tc>
          <w:tcPr>
            <w:tcW w:type="dxa" w:w="4176"/>
            <w:vAlign w:val="center"/>
          </w:tcPr>
          <w:p>
            <w:r/>
            <w:r>
              <w:rPr>
                <w:b w:val="0"/>
                <w:sz w:val="15"/>
              </w:rPr>
              <w:t>POST /capacity/reservations/{id}/settle</w:t>
            </w:r>
          </w:p>
        </w:tc>
        <w:tc>
          <w:tcPr>
            <w:tcW w:type="dxa" w:w="6120"/>
            <w:vAlign w:val="center"/>
          </w:tcPr>
          <w:p>
            <w:r/>
            <w:r>
              <w:rPr>
                <w:b w:val="0"/>
                <w:sz w:val="15"/>
              </w:rPr>
              <w:t>Settle actual usage.</w:t>
            </w:r>
          </w:p>
        </w:tc>
      </w:tr>
      <w:tr>
        <w:tc>
          <w:tcPr>
            <w:tcW w:type="dxa" w:w="4176"/>
            <w:vAlign w:val="center"/>
          </w:tcPr>
          <w:p>
            <w:r/>
            <w:r>
              <w:rPr>
                <w:b w:val="0"/>
                <w:sz w:val="15"/>
              </w:rPr>
              <w:t>POST /capacity/reservations/{id}/release</w:t>
            </w:r>
          </w:p>
        </w:tc>
        <w:tc>
          <w:tcPr>
            <w:tcW w:type="dxa" w:w="6120"/>
            <w:vAlign w:val="center"/>
          </w:tcPr>
          <w:p>
            <w:r/>
            <w:r>
              <w:rPr>
                <w:b w:val="0"/>
                <w:sz w:val="15"/>
              </w:rPr>
              <w:t>Release failed/cancelled task.</w:t>
            </w:r>
          </w:p>
        </w:tc>
      </w:tr>
      <w:tr>
        <w:tc>
          <w:tcPr>
            <w:tcW w:type="dxa" w:w="4176"/>
            <w:vAlign w:val="center"/>
          </w:tcPr>
          <w:p>
            <w:r/>
            <w:r>
              <w:rPr>
                <w:b w:val="0"/>
                <w:sz w:val="15"/>
              </w:rPr>
              <w:t>POST /workspaces/{id}/capacity-boosts/checkout</w:t>
            </w:r>
          </w:p>
        </w:tc>
        <w:tc>
          <w:tcPr>
            <w:tcW w:type="dxa" w:w="6120"/>
            <w:vAlign w:val="center"/>
          </w:tcPr>
          <w:p>
            <w:r/>
            <w:r>
              <w:rPr>
                <w:b w:val="0"/>
                <w:sz w:val="15"/>
              </w:rPr>
              <w:t>Purchase boost.</w:t>
            </w:r>
          </w:p>
        </w:tc>
      </w:tr>
      <w:tr>
        <w:tc>
          <w:tcPr>
            <w:tcW w:type="dxa" w:w="4176"/>
            <w:vAlign w:val="center"/>
          </w:tcPr>
          <w:p>
            <w:r/>
            <w:r>
              <w:rPr>
                <w:b w:val="0"/>
                <w:sz w:val="15"/>
              </w:rPr>
              <w:t>POST /billing/webhooks/{provider}</w:t>
            </w:r>
          </w:p>
        </w:tc>
        <w:tc>
          <w:tcPr>
            <w:tcW w:type="dxa" w:w="6120"/>
            <w:vAlign w:val="center"/>
          </w:tcPr>
          <w:p>
            <w:r/>
            <w:r>
              <w:rPr>
                <w:b w:val="0"/>
                <w:sz w:val="15"/>
              </w:rPr>
              <w:t>Verified provider webhook intake.</w:t>
            </w:r>
          </w:p>
        </w:tc>
      </w:tr>
      <w:tr>
        <w:tc>
          <w:tcPr>
            <w:tcW w:type="dxa" w:w="4176"/>
            <w:vAlign w:val="center"/>
          </w:tcPr>
          <w:p>
            <w:r/>
            <w:r>
              <w:rPr>
                <w:b w:val="0"/>
                <w:sz w:val="15"/>
              </w:rPr>
              <w:t>POST /admin/billing/events/{id}/replay</w:t>
            </w:r>
          </w:p>
        </w:tc>
        <w:tc>
          <w:tcPr>
            <w:tcW w:type="dxa" w:w="6120"/>
            <w:vAlign w:val="center"/>
          </w:tcPr>
          <w:p>
            <w:r/>
            <w:r>
              <w:rPr>
                <w:b w:val="0"/>
                <w:sz w:val="15"/>
              </w:rPr>
              <w:t>Controlled idempotent replay.</w:t>
            </w:r>
          </w:p>
        </w:tc>
      </w:tr>
      <w:tr>
        <w:tc>
          <w:tcPr>
            <w:tcW w:type="dxa" w:w="4176"/>
            <w:vAlign w:val="center"/>
          </w:tcPr>
          <w:p>
            <w:r/>
            <w:r>
              <w:rPr>
                <w:b w:val="0"/>
                <w:sz w:val="15"/>
              </w:rPr>
              <w:t>POST /admin/workspaces/{id}/commercial-adjustment</w:t>
            </w:r>
          </w:p>
        </w:tc>
        <w:tc>
          <w:tcPr>
            <w:tcW w:type="dxa" w:w="6120"/>
            <w:vAlign w:val="center"/>
          </w:tcPr>
          <w:p>
            <w:r/>
            <w:r>
              <w:rPr>
                <w:b w:val="0"/>
                <w:sz w:val="15"/>
              </w:rPr>
              <w:t>Audited plan/capacity/seat correction.</w:t>
            </w:r>
          </w:p>
        </w:tc>
      </w:tr>
      <w:tr>
        <w:tc>
          <w:tcPr>
            <w:tcW w:type="dxa" w:w="4176"/>
            <w:vAlign w:val="center"/>
          </w:tcPr>
          <w:p>
            <w:r/>
            <w:r>
              <w:rPr>
                <w:b w:val="0"/>
                <w:sz w:val="15"/>
              </w:rPr>
              <w:t>POST /workspaces/{id}/deletion-request</w:t>
            </w:r>
          </w:p>
        </w:tc>
        <w:tc>
          <w:tcPr>
            <w:tcW w:type="dxa" w:w="6120"/>
            <w:vAlign w:val="center"/>
          </w:tcPr>
          <w:p>
            <w:r/>
            <w:r>
              <w:rPr>
                <w:b w:val="0"/>
                <w:sz w:val="15"/>
              </w:rPr>
              <w:t>Begin permanent deletion workflow.</w:t>
            </w:r>
          </w:p>
        </w:tc>
      </w:tr>
    </w:tbl>
    <w:p/>
    <w:p>
      <w:pPr>
        <w:pStyle w:val="Heading1"/>
      </w:pPr>
      <w:r>
        <w:t>34. Background Jobs and Scheduled Tasks</w:t>
      </w:r>
    </w:p>
    <w:tbl>
      <w:tblPr>
        <w:tblStyle w:val="TableGrid"/>
        <w:tblW w:type="auto" w:w="0"/>
        <w:jc w:val="center"/>
        <w:tblLook w:firstColumn="1" w:firstRow="1" w:lastColumn="0" w:lastRow="0" w:noHBand="0" w:noVBand="1" w:val="04A0"/>
      </w:tblPr>
      <w:tblGrid>
        <w:gridCol w:w="5083"/>
        <w:gridCol w:w="5083"/>
      </w:tblGrid>
      <w:tr>
        <w:tc>
          <w:tcPr>
            <w:tcW w:type="dxa" w:w="3672"/>
            <w:shd w:fill="17365D"/>
            <w:vAlign w:val="center"/>
          </w:tcPr>
          <w:p>
            <w:r/>
            <w:r>
              <w:rPr>
                <w:b/>
                <w:color w:val="FFFFFF"/>
                <w:sz w:val="16"/>
              </w:rPr>
              <w:t>Job</w:t>
            </w:r>
          </w:p>
        </w:tc>
        <w:tc>
          <w:tcPr>
            <w:tcW w:type="dxa" w:w="6624"/>
            <w:shd w:fill="17365D"/>
            <w:vAlign w:val="center"/>
          </w:tcPr>
          <w:p>
            <w:r/>
            <w:r>
              <w:rPr>
                <w:b/>
                <w:color w:val="FFFFFF"/>
                <w:sz w:val="16"/>
              </w:rPr>
              <w:t>Cadence/Trigger</w:t>
            </w:r>
          </w:p>
        </w:tc>
      </w:tr>
      <w:tr>
        <w:tc>
          <w:tcPr>
            <w:tcW w:type="dxa" w:w="3672"/>
            <w:vAlign w:val="center"/>
          </w:tcPr>
          <w:p>
            <w:r/>
            <w:r>
              <w:rPr>
                <w:b w:val="0"/>
                <w:sz w:val="16"/>
              </w:rPr>
              <w:t>Billing event processor</w:t>
            </w:r>
          </w:p>
        </w:tc>
        <w:tc>
          <w:tcPr>
            <w:tcW w:type="dxa" w:w="6624"/>
            <w:vAlign w:val="center"/>
          </w:tcPr>
          <w:p>
            <w:r/>
            <w:r>
              <w:rPr>
                <w:b w:val="0"/>
                <w:sz w:val="16"/>
              </w:rPr>
              <w:t>Continuous queue.</w:t>
            </w:r>
          </w:p>
        </w:tc>
      </w:tr>
      <w:tr>
        <w:tc>
          <w:tcPr>
            <w:tcW w:type="dxa" w:w="3672"/>
            <w:vAlign w:val="center"/>
          </w:tcPr>
          <w:p>
            <w:r/>
            <w:r>
              <w:rPr>
                <w:b w:val="0"/>
                <w:sz w:val="16"/>
              </w:rPr>
              <w:t>Provider reconciliation</w:t>
            </w:r>
          </w:p>
        </w:tc>
        <w:tc>
          <w:tcPr>
            <w:tcW w:type="dxa" w:w="6624"/>
            <w:vAlign w:val="center"/>
          </w:tcPr>
          <w:p>
            <w:r/>
            <w:r>
              <w:rPr>
                <w:b w:val="0"/>
                <w:sz w:val="16"/>
              </w:rPr>
              <w:t>Hourly/daily and on suspected mismatch.</w:t>
            </w:r>
          </w:p>
        </w:tc>
      </w:tr>
      <w:tr>
        <w:tc>
          <w:tcPr>
            <w:tcW w:type="dxa" w:w="3672"/>
            <w:vAlign w:val="center"/>
          </w:tcPr>
          <w:p>
            <w:r/>
            <w:r>
              <w:rPr>
                <w:b w:val="0"/>
                <w:sz w:val="16"/>
              </w:rPr>
              <w:t>Renewal/grant processor</w:t>
            </w:r>
          </w:p>
        </w:tc>
        <w:tc>
          <w:tcPr>
            <w:tcW w:type="dxa" w:w="6624"/>
            <w:vAlign w:val="center"/>
          </w:tcPr>
          <w:p>
            <w:r/>
            <w:r>
              <w:rPr>
                <w:b w:val="0"/>
                <w:sz w:val="16"/>
              </w:rPr>
              <w:t>At billing/capacity-cycle boundaries.</w:t>
            </w:r>
          </w:p>
        </w:tc>
      </w:tr>
      <w:tr>
        <w:tc>
          <w:tcPr>
            <w:tcW w:type="dxa" w:w="3672"/>
            <w:vAlign w:val="center"/>
          </w:tcPr>
          <w:p>
            <w:r/>
            <w:r>
              <w:rPr>
                <w:b w:val="0"/>
                <w:sz w:val="16"/>
              </w:rPr>
              <w:t>Payment retry status sync</w:t>
            </w:r>
          </w:p>
        </w:tc>
        <w:tc>
          <w:tcPr>
            <w:tcW w:type="dxa" w:w="6624"/>
            <w:vAlign w:val="center"/>
          </w:tcPr>
          <w:p>
            <w:r/>
            <w:r>
              <w:rPr>
                <w:b w:val="0"/>
                <w:sz w:val="16"/>
              </w:rPr>
              <w:t>Provider schedule plus periodic reconciliation.</w:t>
            </w:r>
          </w:p>
        </w:tc>
      </w:tr>
      <w:tr>
        <w:tc>
          <w:tcPr>
            <w:tcW w:type="dxa" w:w="3672"/>
            <w:vAlign w:val="center"/>
          </w:tcPr>
          <w:p>
            <w:r/>
            <w:r>
              <w:rPr>
                <w:b w:val="0"/>
                <w:sz w:val="16"/>
              </w:rPr>
              <w:t>Grace-period transition</w:t>
            </w:r>
          </w:p>
        </w:tc>
        <w:tc>
          <w:tcPr>
            <w:tcW w:type="dxa" w:w="6624"/>
            <w:vAlign w:val="center"/>
          </w:tcPr>
          <w:p>
            <w:r/>
            <w:r>
              <w:rPr>
                <w:b w:val="0"/>
                <w:sz w:val="16"/>
              </w:rPr>
              <w:t>At exact policy thresholds.</w:t>
            </w:r>
          </w:p>
        </w:tc>
      </w:tr>
      <w:tr>
        <w:tc>
          <w:tcPr>
            <w:tcW w:type="dxa" w:w="3672"/>
            <w:vAlign w:val="center"/>
          </w:tcPr>
          <w:p>
            <w:r/>
            <w:r>
              <w:rPr>
                <w:b w:val="0"/>
                <w:sz w:val="16"/>
              </w:rPr>
              <w:t>Capacity reservation expiry</w:t>
            </w:r>
          </w:p>
        </w:tc>
        <w:tc>
          <w:tcPr>
            <w:tcW w:type="dxa" w:w="6624"/>
            <w:vAlign w:val="center"/>
          </w:tcPr>
          <w:p>
            <w:r/>
            <w:r>
              <w:rPr>
                <w:b w:val="0"/>
                <w:sz w:val="16"/>
              </w:rPr>
              <w:t>Frequent scheduled sweep.</w:t>
            </w:r>
          </w:p>
        </w:tc>
      </w:tr>
      <w:tr>
        <w:tc>
          <w:tcPr>
            <w:tcW w:type="dxa" w:w="3672"/>
            <w:vAlign w:val="center"/>
          </w:tcPr>
          <w:p>
            <w:r/>
            <w:r>
              <w:rPr>
                <w:b w:val="0"/>
                <w:sz w:val="16"/>
              </w:rPr>
              <w:t>Capacity forecast refresh</w:t>
            </w:r>
          </w:p>
        </w:tc>
        <w:tc>
          <w:tcPr>
            <w:tcW w:type="dxa" w:w="6624"/>
            <w:vAlign w:val="center"/>
          </w:tcPr>
          <w:p>
            <w:r/>
            <w:r>
              <w:rPr>
                <w:b w:val="0"/>
                <w:sz w:val="16"/>
              </w:rPr>
              <w:t>Daily and after material usage/subscription changes.</w:t>
            </w:r>
          </w:p>
        </w:tc>
      </w:tr>
      <w:tr>
        <w:tc>
          <w:tcPr>
            <w:tcW w:type="dxa" w:w="3672"/>
            <w:vAlign w:val="center"/>
          </w:tcPr>
          <w:p>
            <w:r/>
            <w:r>
              <w:rPr>
                <w:b w:val="0"/>
                <w:sz w:val="16"/>
              </w:rPr>
              <w:t>Usage aggregation</w:t>
            </w:r>
          </w:p>
        </w:tc>
        <w:tc>
          <w:tcPr>
            <w:tcW w:type="dxa" w:w="6624"/>
            <w:vAlign w:val="center"/>
          </w:tcPr>
          <w:p>
            <w:r/>
            <w:r>
              <w:rPr>
                <w:b w:val="0"/>
                <w:sz w:val="16"/>
              </w:rPr>
              <w:t>Near real time plus daily reconciliation.</w:t>
            </w:r>
          </w:p>
        </w:tc>
      </w:tr>
      <w:tr>
        <w:tc>
          <w:tcPr>
            <w:tcW w:type="dxa" w:w="3672"/>
            <w:vAlign w:val="center"/>
          </w:tcPr>
          <w:p>
            <w:r/>
            <w:r>
              <w:rPr>
                <w:b w:val="0"/>
                <w:sz w:val="16"/>
              </w:rPr>
              <w:t>Fair-usage anomaly detection</w:t>
            </w:r>
          </w:p>
        </w:tc>
        <w:tc>
          <w:tcPr>
            <w:tcW w:type="dxa" w:w="6624"/>
            <w:vAlign w:val="center"/>
          </w:tcPr>
          <w:p>
            <w:r/>
            <w:r>
              <w:rPr>
                <w:b w:val="0"/>
                <w:sz w:val="16"/>
              </w:rPr>
              <w:t>Hourly/daily based on signal.</w:t>
            </w:r>
          </w:p>
        </w:tc>
      </w:tr>
      <w:tr>
        <w:tc>
          <w:tcPr>
            <w:tcW w:type="dxa" w:w="3672"/>
            <w:vAlign w:val="center"/>
          </w:tcPr>
          <w:p>
            <w:r/>
            <w:r>
              <w:rPr>
                <w:b w:val="0"/>
                <w:sz w:val="16"/>
              </w:rPr>
              <w:t>Scheduled downgrade/seat reduction</w:t>
            </w:r>
          </w:p>
        </w:tc>
        <w:tc>
          <w:tcPr>
            <w:tcW w:type="dxa" w:w="6624"/>
            <w:vAlign w:val="center"/>
          </w:tcPr>
          <w:p>
            <w:r/>
            <w:r>
              <w:rPr>
                <w:b w:val="0"/>
                <w:sz w:val="16"/>
              </w:rPr>
              <w:t>At period boundary.</w:t>
            </w:r>
          </w:p>
        </w:tc>
      </w:tr>
      <w:tr>
        <w:tc>
          <w:tcPr>
            <w:tcW w:type="dxa" w:w="3672"/>
            <w:vAlign w:val="center"/>
          </w:tcPr>
          <w:p>
            <w:r/>
            <w:r>
              <w:rPr>
                <w:b w:val="0"/>
                <w:sz w:val="16"/>
              </w:rPr>
              <w:t>Founding protection validator</w:t>
            </w:r>
          </w:p>
        </w:tc>
        <w:tc>
          <w:tcPr>
            <w:tcW w:type="dxa" w:w="6624"/>
            <w:vAlign w:val="center"/>
          </w:tcPr>
          <w:p>
            <w:r/>
            <w:r>
              <w:rPr>
                <w:b w:val="0"/>
                <w:sz w:val="16"/>
              </w:rPr>
              <w:t>On commercial changes and periodic audit.</w:t>
            </w:r>
          </w:p>
        </w:tc>
      </w:tr>
      <w:tr>
        <w:tc>
          <w:tcPr>
            <w:tcW w:type="dxa" w:w="3672"/>
            <w:vAlign w:val="center"/>
          </w:tcPr>
          <w:p>
            <w:r/>
            <w:r>
              <w:rPr>
                <w:b w:val="0"/>
                <w:sz w:val="16"/>
              </w:rPr>
              <w:t>Retention notifications</w:t>
            </w:r>
          </w:p>
        </w:tc>
        <w:tc>
          <w:tcPr>
            <w:tcW w:type="dxa" w:w="6624"/>
            <w:vAlign w:val="center"/>
          </w:tcPr>
          <w:p>
            <w:r/>
            <w:r>
              <w:rPr>
                <w:b w:val="0"/>
                <w:sz w:val="16"/>
              </w:rPr>
              <w:t>Policy-scheduled.</w:t>
            </w:r>
          </w:p>
        </w:tc>
      </w:tr>
      <w:tr>
        <w:tc>
          <w:tcPr>
            <w:tcW w:type="dxa" w:w="3672"/>
            <w:vAlign w:val="center"/>
          </w:tcPr>
          <w:p>
            <w:r/>
            <w:r>
              <w:rPr>
                <w:b w:val="0"/>
                <w:sz w:val="16"/>
              </w:rPr>
              <w:t>Deletion executor</w:t>
            </w:r>
          </w:p>
        </w:tc>
        <w:tc>
          <w:tcPr>
            <w:tcW w:type="dxa" w:w="6624"/>
            <w:vAlign w:val="center"/>
          </w:tcPr>
          <w:p>
            <w:r/>
            <w:r>
              <w:rPr>
                <w:b w:val="0"/>
                <w:sz w:val="16"/>
              </w:rPr>
              <w:t>After retention and recovery holds.</w:t>
            </w:r>
          </w:p>
        </w:tc>
      </w:tr>
      <w:tr>
        <w:tc>
          <w:tcPr>
            <w:tcW w:type="dxa" w:w="3672"/>
            <w:vAlign w:val="center"/>
          </w:tcPr>
          <w:p>
            <w:r/>
            <w:r>
              <w:rPr>
                <w:b w:val="0"/>
                <w:sz w:val="16"/>
              </w:rPr>
              <w:t>Commercial consistency audit</w:t>
            </w:r>
          </w:p>
        </w:tc>
        <w:tc>
          <w:tcPr>
            <w:tcW w:type="dxa" w:w="6624"/>
            <w:vAlign w:val="center"/>
          </w:tcPr>
          <w:p>
            <w:r/>
            <w:r>
              <w:rPr>
                <w:b w:val="0"/>
                <w:sz w:val="16"/>
              </w:rPr>
              <w:t>Daily: provider vs subscription vs entitlements vs ledger.</w:t>
            </w:r>
          </w:p>
        </w:tc>
      </w:tr>
    </w:tbl>
    <w:p/>
    <w:p>
      <w:pPr>
        <w:pStyle w:val="Heading1"/>
      </w:pPr>
      <w:r>
        <w:t>35. Notifications</w:t>
      </w:r>
    </w:p>
    <w:p>
      <w:pPr>
        <w:pStyle w:val="ListBullet"/>
      </w:pPr>
      <w:r>
        <w:t>Checkout/provisioning success and failure.</w:t>
      </w:r>
    </w:p>
    <w:p>
      <w:pPr>
        <w:pStyle w:val="ListBullet"/>
      </w:pPr>
      <w:r>
        <w:t>Renewal receipt, annual renewal advance notice where required, and invoice availability.</w:t>
      </w:r>
    </w:p>
    <w:p>
      <w:pPr>
        <w:pStyle w:val="ListBullet"/>
      </w:pPr>
      <w:r>
        <w:t>Payment failed, retry scheduled, grace-period warning, read-only transition and suspension.</w:t>
      </w:r>
    </w:p>
    <w:p>
      <w:pPr>
        <w:pStyle w:val="ListBullet"/>
      </w:pPr>
      <w:r>
        <w:t>Plan upgrade/downgrade scheduled/completed/failed.</w:t>
      </w:r>
    </w:p>
    <w:p>
      <w:pPr>
        <w:pStyle w:val="ListBullet"/>
      </w:pPr>
      <w:r>
        <w:t>Seat quantity or assignment changes.</w:t>
      </w:r>
    </w:p>
    <w:p>
      <w:pPr>
        <w:pStyle w:val="ListBullet"/>
      </w:pPr>
      <w:r>
        <w:t>Capacity thresholds, forecasted depletion, insufficient capacity and Boost purchase.</w:t>
      </w:r>
    </w:p>
    <w:p>
      <w:pPr>
        <w:pStyle w:val="ListBullet"/>
      </w:pPr>
      <w:r>
        <w:t>Founding price protection impact before any potentially forfeiting action.</w:t>
      </w:r>
    </w:p>
    <w:p>
      <w:pPr>
        <w:pStyle w:val="ListBullet"/>
      </w:pPr>
      <w:r>
        <w:t>Cancellation, reactivation, retention deadlines and permanent deletion.</w:t>
      </w:r>
    </w:p>
    <w:p>
      <w:pPr>
        <w:pStyle w:val="ListBullet"/>
      </w:pPr>
      <w:r>
        <w:t>Admin commercial adjustment receipt where customer-visible.</w:t>
      </w:r>
    </w:p>
    <w:p>
      <w:pPr>
        <w:pStyle w:val="ListBullet"/>
      </w:pPr>
      <w:r>
        <w:t>Notifications must be deduplicated, localized, channel-preference aware and linked to secure in-app destinations.</w:t>
      </w:r>
    </w:p>
    <w:p>
      <w:pPr>
        <w:pStyle w:val="Heading1"/>
      </w:pPr>
      <w:r>
        <w:t>36. Audit Logging</w:t>
      </w:r>
    </w:p>
    <w:p>
      <w:r>
        <w:t>Every revenue-impacting, entitlement-impacting, access-impacting or data-retention action must create an immutable CommercialAuditEvent with: actor type/id, workspace, request/correlation ID, action, reason code, before/after snapshot references, source (customer/admin/provider/job), provider event ID where applicable, timestamp and IP/device metadata where appropriate.</w:t>
      </w:r>
    </w:p>
    <w:p>
      <w:pPr>
        <w:pStyle w:val="ListBullet"/>
      </w:pPr>
      <w:r>
        <w:t>Never store full card data, secrets or raw sensitive credentials in audit logs.</w:t>
      </w:r>
    </w:p>
    <w:p>
      <w:pPr>
        <w:pStyle w:val="ListBullet"/>
      </w:pPr>
      <w:r>
        <w:t>Admin overrides require free-text justification plus structured reason code.</w:t>
      </w:r>
    </w:p>
    <w:p>
      <w:pPr>
        <w:pStyle w:val="ListBullet"/>
      </w:pPr>
      <w:r>
        <w:t>High-value adjustments require secondary approval when configured.</w:t>
      </w:r>
    </w:p>
    <w:p>
      <w:pPr>
        <w:pStyle w:val="ListBullet"/>
      </w:pPr>
      <w:r>
        <w:t>Audit records must be searchable by workspace, subscription, payment, event, actor and date.</w:t>
      </w:r>
    </w:p>
    <w:p>
      <w:pPr>
        <w:pStyle w:val="Heading1"/>
      </w:pPr>
      <w:r>
        <w:t>37. Customer UI Behaviour</w:t>
      </w:r>
    </w:p>
    <w:tbl>
      <w:tblPr>
        <w:tblStyle w:val="TableGrid"/>
        <w:tblW w:type="auto" w:w="0"/>
        <w:jc w:val="center"/>
        <w:tblLook w:firstColumn="1" w:firstRow="1" w:lastColumn="0" w:lastRow="0" w:noHBand="0" w:noVBand="1" w:val="04A0"/>
      </w:tblPr>
      <w:tblGrid>
        <w:gridCol w:w="5083"/>
        <w:gridCol w:w="5083"/>
      </w:tblGrid>
      <w:tr>
        <w:tc>
          <w:tcPr>
            <w:tcW w:type="dxa" w:w="2448"/>
            <w:shd w:fill="17365D"/>
            <w:vAlign w:val="center"/>
          </w:tcPr>
          <w:p>
            <w:r/>
            <w:r>
              <w:rPr>
                <w:b/>
                <w:color w:val="FFFFFF"/>
                <w:sz w:val="16"/>
              </w:rPr>
              <w:t>Screen/Component</w:t>
            </w:r>
          </w:p>
        </w:tc>
        <w:tc>
          <w:tcPr>
            <w:tcW w:type="dxa" w:w="7848"/>
            <w:shd w:fill="17365D"/>
            <w:vAlign w:val="center"/>
          </w:tcPr>
          <w:p>
            <w:r/>
            <w:r>
              <w:rPr>
                <w:b/>
                <w:color w:val="FFFFFF"/>
                <w:sz w:val="16"/>
              </w:rPr>
              <w:t>Required Behaviour</w:t>
            </w:r>
          </w:p>
        </w:tc>
      </w:tr>
      <w:tr>
        <w:tc>
          <w:tcPr>
            <w:tcW w:type="dxa" w:w="2448"/>
            <w:vAlign w:val="center"/>
          </w:tcPr>
          <w:p>
            <w:r/>
            <w:r>
              <w:rPr>
                <w:b w:val="0"/>
                <w:sz w:val="16"/>
              </w:rPr>
              <w:t>Billing Overview</w:t>
            </w:r>
          </w:p>
        </w:tc>
        <w:tc>
          <w:tcPr>
            <w:tcW w:type="dxa" w:w="7848"/>
            <w:vAlign w:val="center"/>
          </w:tcPr>
          <w:p>
            <w:r/>
            <w:r>
              <w:rPr>
                <w:b w:val="0"/>
                <w:sz w:val="16"/>
              </w:rPr>
              <w:t>Plan, price, interval, renewal date, Founding status, payment status, invoices and secure payment management.</w:t>
            </w:r>
          </w:p>
        </w:tc>
      </w:tr>
      <w:tr>
        <w:tc>
          <w:tcPr>
            <w:tcW w:type="dxa" w:w="2448"/>
            <w:vAlign w:val="center"/>
          </w:tcPr>
          <w:p>
            <w:r/>
            <w:r>
              <w:rPr>
                <w:b w:val="0"/>
                <w:sz w:val="16"/>
              </w:rPr>
              <w:t>Plan Comparison</w:t>
            </w:r>
          </w:p>
        </w:tc>
        <w:tc>
          <w:tcPr>
            <w:tcW w:type="dxa" w:w="7848"/>
            <w:vAlign w:val="center"/>
          </w:tcPr>
          <w:p>
            <w:r/>
            <w:r>
              <w:rPr>
                <w:b w:val="0"/>
                <w:sz w:val="16"/>
              </w:rPr>
              <w:t>Only eligible plans/prices; clear effective date and entitlement differences.</w:t>
            </w:r>
          </w:p>
        </w:tc>
      </w:tr>
      <w:tr>
        <w:tc>
          <w:tcPr>
            <w:tcW w:type="dxa" w:w="2448"/>
            <w:vAlign w:val="center"/>
          </w:tcPr>
          <w:p>
            <w:r/>
            <w:r>
              <w:rPr>
                <w:b w:val="0"/>
                <w:sz w:val="16"/>
              </w:rPr>
              <w:t>Change Review</w:t>
            </w:r>
          </w:p>
        </w:tc>
        <w:tc>
          <w:tcPr>
            <w:tcW w:type="dxa" w:w="7848"/>
            <w:vAlign w:val="center"/>
          </w:tcPr>
          <w:p>
            <w:r/>
            <w:r>
              <w:rPr>
                <w:b w:val="0"/>
                <w:sz w:val="16"/>
              </w:rPr>
              <w:t>Proration, new recurring amount, Founding impact, limits, seats and capacity changes before confirmation.</w:t>
            </w:r>
          </w:p>
        </w:tc>
      </w:tr>
      <w:tr>
        <w:tc>
          <w:tcPr>
            <w:tcW w:type="dxa" w:w="2448"/>
            <w:vAlign w:val="center"/>
          </w:tcPr>
          <w:p>
            <w:r/>
            <w:r>
              <w:rPr>
                <w:b w:val="0"/>
                <w:sz w:val="16"/>
              </w:rPr>
              <w:t>Usage &amp; Capacity</w:t>
            </w:r>
          </w:p>
        </w:tc>
        <w:tc>
          <w:tcPr>
            <w:tcW w:type="dxa" w:w="7848"/>
            <w:vAlign w:val="center"/>
          </w:tcPr>
          <w:p>
            <w:r/>
            <w:r>
              <w:rPr>
                <w:b w:val="0"/>
                <w:sz w:val="16"/>
              </w:rPr>
              <w:t>Balance, reserved amount, next release, forecast, project allocations and usage categories.</w:t>
            </w:r>
          </w:p>
        </w:tc>
      </w:tr>
      <w:tr>
        <w:tc>
          <w:tcPr>
            <w:tcW w:type="dxa" w:w="2448"/>
            <w:vAlign w:val="center"/>
          </w:tcPr>
          <w:p>
            <w:r/>
            <w:r>
              <w:rPr>
                <w:b w:val="0"/>
                <w:sz w:val="16"/>
              </w:rPr>
              <w:t>Seat Management</w:t>
            </w:r>
          </w:p>
        </w:tc>
        <w:tc>
          <w:tcPr>
            <w:tcW w:type="dxa" w:w="7848"/>
            <w:vAlign w:val="center"/>
          </w:tcPr>
          <w:p>
            <w:r/>
            <w:r>
              <w:rPr>
                <w:b w:val="0"/>
                <w:sz w:val="16"/>
              </w:rPr>
              <w:t>Included/paid/complimentary quantities, assignments, pending removals and role compatibility.</w:t>
            </w:r>
          </w:p>
        </w:tc>
      </w:tr>
      <w:tr>
        <w:tc>
          <w:tcPr>
            <w:tcW w:type="dxa" w:w="2448"/>
            <w:vAlign w:val="center"/>
          </w:tcPr>
          <w:p>
            <w:r/>
            <w:r>
              <w:rPr>
                <w:b w:val="0"/>
                <w:sz w:val="16"/>
              </w:rPr>
              <w:t>Project/Client Limits</w:t>
            </w:r>
          </w:p>
        </w:tc>
        <w:tc>
          <w:tcPr>
            <w:tcW w:type="dxa" w:w="7848"/>
            <w:vAlign w:val="center"/>
          </w:tcPr>
          <w:p>
            <w:r/>
            <w:r>
              <w:rPr>
                <w:b w:val="0"/>
                <w:sz w:val="16"/>
              </w:rPr>
              <w:t>Current usage vs entitlement; archive/upgrade actions.</w:t>
            </w:r>
          </w:p>
        </w:tc>
      </w:tr>
      <w:tr>
        <w:tc>
          <w:tcPr>
            <w:tcW w:type="dxa" w:w="2448"/>
            <w:vAlign w:val="center"/>
          </w:tcPr>
          <w:p>
            <w:r/>
            <w:r>
              <w:rPr>
                <w:b w:val="0"/>
                <w:sz w:val="16"/>
              </w:rPr>
              <w:t>Read-Only Banner</w:t>
            </w:r>
          </w:p>
        </w:tc>
        <w:tc>
          <w:tcPr>
            <w:tcW w:type="dxa" w:w="7848"/>
            <w:vAlign w:val="center"/>
          </w:tcPr>
          <w:p>
            <w:r/>
            <w:r>
              <w:rPr>
                <w:b w:val="0"/>
                <w:sz w:val="16"/>
              </w:rPr>
              <w:t>Reason, deadline/state, payment/reactivation path and allowed actions.</w:t>
            </w:r>
          </w:p>
        </w:tc>
      </w:tr>
      <w:tr>
        <w:tc>
          <w:tcPr>
            <w:tcW w:type="dxa" w:w="2448"/>
            <w:vAlign w:val="center"/>
          </w:tcPr>
          <w:p>
            <w:r/>
            <w:r>
              <w:rPr>
                <w:b w:val="0"/>
                <w:sz w:val="16"/>
              </w:rPr>
              <w:t>Cancellation</w:t>
            </w:r>
          </w:p>
        </w:tc>
        <w:tc>
          <w:tcPr>
            <w:tcW w:type="dxa" w:w="7848"/>
            <w:vAlign w:val="center"/>
          </w:tcPr>
          <w:p>
            <w:r/>
            <w:r>
              <w:rPr>
                <w:b w:val="0"/>
                <w:sz w:val="16"/>
              </w:rPr>
              <w:t>Paid-through date, Founding protection warning, retention consequences, reactivation rules.</w:t>
            </w:r>
          </w:p>
        </w:tc>
      </w:tr>
      <w:tr>
        <w:tc>
          <w:tcPr>
            <w:tcW w:type="dxa" w:w="2448"/>
            <w:vAlign w:val="center"/>
          </w:tcPr>
          <w:p>
            <w:r/>
            <w:r>
              <w:rPr>
                <w:b w:val="0"/>
                <w:sz w:val="16"/>
              </w:rPr>
              <w:t>Deletion</w:t>
            </w:r>
          </w:p>
        </w:tc>
        <w:tc>
          <w:tcPr>
            <w:tcW w:type="dxa" w:w="7848"/>
            <w:vAlign w:val="center"/>
          </w:tcPr>
          <w:p>
            <w:r/>
            <w:r>
              <w:rPr>
                <w:b w:val="0"/>
                <w:sz w:val="16"/>
              </w:rPr>
              <w:t>Separate from cancellation; explicit irreversible confirmation and retention/legal explanation.</w:t>
            </w:r>
          </w:p>
        </w:tc>
      </w:tr>
    </w:tbl>
    <w:p/>
    <w:p>
      <w:pPr>
        <w:pStyle w:val="Heading1"/>
      </w:pPr>
      <w:r>
        <w:t>38. Internal Operations Command Center Controls</w:t>
      </w:r>
    </w:p>
    <w:p>
      <w:pPr>
        <w:pStyle w:val="ListBullet"/>
      </w:pPr>
      <w:r>
        <w:t>Search workspace/customer/subscription/payment/provider reference.</w:t>
      </w:r>
    </w:p>
    <w:p>
      <w:pPr>
        <w:pStyle w:val="ListBullet"/>
      </w:pPr>
      <w:r>
        <w:t>View authoritative internal state beside provider state and reconciliation differences.</w:t>
      </w:r>
    </w:p>
    <w:p>
      <w:pPr>
        <w:pStyle w:val="ListBullet"/>
      </w:pPr>
      <w:r>
        <w:t>Replay failed billing events idempotently.</w:t>
      </w:r>
    </w:p>
    <w:p>
      <w:pPr>
        <w:pStyle w:val="ListBullet"/>
      </w:pPr>
      <w:r>
        <w:t>Issue controlled capacity adjustments/courtesy grants.</w:t>
      </w:r>
    </w:p>
    <w:p>
      <w:pPr>
        <w:pStyle w:val="ListBullet"/>
      </w:pPr>
      <w:r>
        <w:t>Correct plan/price mapping without losing historical versions.</w:t>
      </w:r>
    </w:p>
    <w:p>
      <w:pPr>
        <w:pStyle w:val="ListBullet"/>
      </w:pPr>
      <w:r>
        <w:t>Suspend/reactivate with reason and permission checks.</w:t>
      </w:r>
    </w:p>
    <w:p>
      <w:pPr>
        <w:pStyle w:val="ListBullet"/>
      </w:pPr>
      <w:r>
        <w:t>View Founding protection and legacy claim evidence.</w:t>
      </w:r>
    </w:p>
    <w:p>
      <w:pPr>
        <w:pStyle w:val="ListBullet"/>
      </w:pPr>
      <w:r>
        <w:t>View seat/project/client over-limit conditions.</w:t>
      </w:r>
    </w:p>
    <w:p>
      <w:pPr>
        <w:pStyle w:val="ListBullet"/>
      </w:pPr>
      <w:r>
        <w:t>Initiate or cancel deletion before irreversible execution where policy permits.</w:t>
      </w:r>
    </w:p>
    <w:p>
      <w:pPr>
        <w:pStyle w:val="ListBullet"/>
      </w:pPr>
      <w:r>
        <w:t>Export commercial audit history for support/accounting review.</w:t>
      </w:r>
    </w:p>
    <w:p>
      <w:pPr>
        <w:pStyle w:val="Heading1"/>
      </w:pPr>
      <w:r>
        <w:t>39. Edge Cases</w:t>
      </w:r>
    </w:p>
    <w:tbl>
      <w:tblPr>
        <w:tblStyle w:val="TableGrid"/>
        <w:tblW w:type="auto" w:w="0"/>
        <w:jc w:val="center"/>
        <w:tblLook w:firstColumn="1" w:firstRow="1" w:lastColumn="0" w:lastRow="0" w:noHBand="0" w:noVBand="1" w:val="04A0"/>
      </w:tblPr>
      <w:tblGrid>
        <w:gridCol w:w="5083"/>
        <w:gridCol w:w="5083"/>
      </w:tblGrid>
      <w:tr>
        <w:tc>
          <w:tcPr>
            <w:tcW w:type="dxa" w:w="2880"/>
            <w:shd w:fill="17365D"/>
            <w:vAlign w:val="center"/>
          </w:tcPr>
          <w:p>
            <w:r/>
            <w:r>
              <w:rPr>
                <w:b/>
                <w:color w:val="FFFFFF"/>
                <w:sz w:val="15"/>
              </w:rPr>
              <w:t>Case</w:t>
            </w:r>
          </w:p>
        </w:tc>
        <w:tc>
          <w:tcPr>
            <w:tcW w:type="dxa" w:w="7416"/>
            <w:shd w:fill="17365D"/>
            <w:vAlign w:val="center"/>
          </w:tcPr>
          <w:p>
            <w:r/>
            <w:r>
              <w:rPr>
                <w:b/>
                <w:color w:val="FFFFFF"/>
                <w:sz w:val="15"/>
              </w:rPr>
              <w:t>Required Handling</w:t>
            </w:r>
          </w:p>
        </w:tc>
      </w:tr>
      <w:tr>
        <w:tc>
          <w:tcPr>
            <w:tcW w:type="dxa" w:w="2880"/>
            <w:vAlign w:val="center"/>
          </w:tcPr>
          <w:p>
            <w:r/>
            <w:r>
              <w:rPr>
                <w:b w:val="0"/>
                <w:sz w:val="15"/>
              </w:rPr>
              <w:t>Duplicate checkout/webhook</w:t>
            </w:r>
          </w:p>
        </w:tc>
        <w:tc>
          <w:tcPr>
            <w:tcW w:type="dxa" w:w="7416"/>
            <w:vAlign w:val="center"/>
          </w:tcPr>
          <w:p>
            <w:r/>
            <w:r>
              <w:rPr>
                <w:b w:val="0"/>
                <w:sz w:val="15"/>
              </w:rPr>
              <w:t>Idempotency prevents duplicate workspace, subscription, grant or payment.</w:t>
            </w:r>
          </w:p>
        </w:tc>
      </w:tr>
      <w:tr>
        <w:tc>
          <w:tcPr>
            <w:tcW w:type="dxa" w:w="2880"/>
            <w:vAlign w:val="center"/>
          </w:tcPr>
          <w:p>
            <w:r/>
            <w:r>
              <w:rPr>
                <w:b w:val="0"/>
                <w:sz w:val="15"/>
              </w:rPr>
              <w:t>Out-of-order events</w:t>
            </w:r>
          </w:p>
        </w:tc>
        <w:tc>
          <w:tcPr>
            <w:tcW w:type="dxa" w:w="7416"/>
            <w:vAlign w:val="center"/>
          </w:tcPr>
          <w:p>
            <w:r/>
            <w:r>
              <w:rPr>
                <w:b w:val="0"/>
                <w:sz w:val="15"/>
              </w:rPr>
              <w:t>Apply effective-time/state validation and provider reconciliation.</w:t>
            </w:r>
          </w:p>
        </w:tc>
      </w:tr>
      <w:tr>
        <w:tc>
          <w:tcPr>
            <w:tcW w:type="dxa" w:w="2880"/>
            <w:vAlign w:val="center"/>
          </w:tcPr>
          <w:p>
            <w:r/>
            <w:r>
              <w:rPr>
                <w:b w:val="0"/>
                <w:sz w:val="15"/>
              </w:rPr>
              <w:t>Payment succeeds after read-only</w:t>
            </w:r>
          </w:p>
        </w:tc>
        <w:tc>
          <w:tcPr>
            <w:tcW w:type="dxa" w:w="7416"/>
            <w:vAlign w:val="center"/>
          </w:tcPr>
          <w:p>
            <w:r/>
            <w:r>
              <w:rPr>
                <w:b w:val="0"/>
                <w:sz w:val="15"/>
              </w:rPr>
              <w:t>Reactivate once, restore eligible entitlements, do not duplicate capacity grant.</w:t>
            </w:r>
          </w:p>
        </w:tc>
      </w:tr>
      <w:tr>
        <w:tc>
          <w:tcPr>
            <w:tcW w:type="dxa" w:w="2880"/>
            <w:vAlign w:val="center"/>
          </w:tcPr>
          <w:p>
            <w:r/>
            <w:r>
              <w:rPr>
                <w:b w:val="0"/>
                <w:sz w:val="15"/>
              </w:rPr>
              <w:t>Upgrade then refund</w:t>
            </w:r>
          </w:p>
        </w:tc>
        <w:tc>
          <w:tcPr>
            <w:tcW w:type="dxa" w:w="7416"/>
            <w:vAlign w:val="center"/>
          </w:tcPr>
          <w:p>
            <w:r/>
            <w:r>
              <w:rPr>
                <w:b w:val="0"/>
                <w:sz w:val="15"/>
              </w:rPr>
              <w:t>Reverse only policy-defined incremental entitlement/capacity; flag negative consumed balance for review.</w:t>
            </w:r>
          </w:p>
        </w:tc>
      </w:tr>
      <w:tr>
        <w:tc>
          <w:tcPr>
            <w:tcW w:type="dxa" w:w="2880"/>
            <w:vAlign w:val="center"/>
          </w:tcPr>
          <w:p>
            <w:r/>
            <w:r>
              <w:rPr>
                <w:b w:val="0"/>
                <w:sz w:val="15"/>
              </w:rPr>
              <w:t>Annual plan cancelled mid-term</w:t>
            </w:r>
          </w:p>
        </w:tc>
        <w:tc>
          <w:tcPr>
            <w:tcW w:type="dxa" w:w="7416"/>
            <w:vAlign w:val="center"/>
          </w:tcPr>
          <w:p>
            <w:r/>
            <w:r>
              <w:rPr>
                <w:b w:val="0"/>
                <w:sz w:val="15"/>
              </w:rPr>
              <w:t>Access continues to paid-through date unless chargeback/abuse; capacity releases continue monthly according to policy.</w:t>
            </w:r>
          </w:p>
        </w:tc>
      </w:tr>
      <w:tr>
        <w:tc>
          <w:tcPr>
            <w:tcW w:type="dxa" w:w="2880"/>
            <w:vAlign w:val="center"/>
          </w:tcPr>
          <w:p>
            <w:r/>
            <w:r>
              <w:rPr>
                <w:b w:val="0"/>
                <w:sz w:val="15"/>
              </w:rPr>
              <w:t>Downgrade while over project/client limit</w:t>
            </w:r>
          </w:p>
        </w:tc>
        <w:tc>
          <w:tcPr>
            <w:tcW w:type="dxa" w:w="7416"/>
            <w:vAlign w:val="center"/>
          </w:tcPr>
          <w:p>
            <w:r/>
            <w:r>
              <w:rPr>
                <w:b w:val="0"/>
                <w:sz w:val="15"/>
              </w:rPr>
              <w:t>No deletion; mark over-limit and block new creation/execution until resolved.</w:t>
            </w:r>
          </w:p>
        </w:tc>
      </w:tr>
      <w:tr>
        <w:tc>
          <w:tcPr>
            <w:tcW w:type="dxa" w:w="2880"/>
            <w:vAlign w:val="center"/>
          </w:tcPr>
          <w:p>
            <w:r/>
            <w:r>
              <w:rPr>
                <w:b w:val="0"/>
                <w:sz w:val="15"/>
              </w:rPr>
              <w:t>Seat removed while user owns approvals</w:t>
            </w:r>
          </w:p>
        </w:tc>
        <w:tc>
          <w:tcPr>
            <w:tcW w:type="dxa" w:w="7416"/>
            <w:vAlign w:val="center"/>
          </w:tcPr>
          <w:p>
            <w:r/>
            <w:r>
              <w:rPr>
                <w:b w:val="0"/>
                <w:sz w:val="15"/>
              </w:rPr>
              <w:t>Require reassignment of pending approvals/tasks or deterministic admin handling.</w:t>
            </w:r>
          </w:p>
        </w:tc>
      </w:tr>
      <w:tr>
        <w:tc>
          <w:tcPr>
            <w:tcW w:type="dxa" w:w="2880"/>
            <w:vAlign w:val="center"/>
          </w:tcPr>
          <w:p>
            <w:r/>
            <w:r>
              <w:rPr>
                <w:b w:val="0"/>
                <w:sz w:val="15"/>
              </w:rPr>
              <w:t>Owner tries to remove own seat</w:t>
            </w:r>
          </w:p>
        </w:tc>
        <w:tc>
          <w:tcPr>
            <w:tcW w:type="dxa" w:w="7416"/>
            <w:vAlign w:val="center"/>
          </w:tcPr>
          <w:p>
            <w:r/>
            <w:r>
              <w:rPr>
                <w:b w:val="0"/>
                <w:sz w:val="15"/>
              </w:rPr>
              <w:t>Block unless ownership transfer is completed.</w:t>
            </w:r>
          </w:p>
        </w:tc>
      </w:tr>
      <w:tr>
        <w:tc>
          <w:tcPr>
            <w:tcW w:type="dxa" w:w="2880"/>
            <w:vAlign w:val="center"/>
          </w:tcPr>
          <w:p>
            <w:r/>
            <w:r>
              <w:rPr>
                <w:b w:val="0"/>
                <w:sz w:val="15"/>
              </w:rPr>
              <w:t>Provider price changed externally</w:t>
            </w:r>
          </w:p>
        </w:tc>
        <w:tc>
          <w:tcPr>
            <w:tcW w:type="dxa" w:w="7416"/>
            <w:vAlign w:val="center"/>
          </w:tcPr>
          <w:p>
            <w:r/>
            <w:r>
              <w:rPr>
                <w:b w:val="0"/>
                <w:sz w:val="15"/>
              </w:rPr>
              <w:t>Do not trust silently; create reconciliation incident.</w:t>
            </w:r>
          </w:p>
        </w:tc>
      </w:tr>
      <w:tr>
        <w:tc>
          <w:tcPr>
            <w:tcW w:type="dxa" w:w="2880"/>
            <w:vAlign w:val="center"/>
          </w:tcPr>
          <w:p>
            <w:r/>
            <w:r>
              <w:rPr>
                <w:b w:val="0"/>
                <w:sz w:val="15"/>
              </w:rPr>
              <w:t>Founding subscriber changes interval</w:t>
            </w:r>
          </w:p>
        </w:tc>
        <w:tc>
          <w:tcPr>
            <w:tcW w:type="dxa" w:w="7416"/>
            <w:vAlign w:val="center"/>
          </w:tcPr>
          <w:p>
            <w:r/>
            <w:r>
              <w:rPr>
                <w:b w:val="0"/>
                <w:sz w:val="15"/>
              </w:rPr>
              <w:t>Preserve only if eligible destination protected price exists.</w:t>
            </w:r>
          </w:p>
        </w:tc>
      </w:tr>
      <w:tr>
        <w:tc>
          <w:tcPr>
            <w:tcW w:type="dxa" w:w="2880"/>
            <w:vAlign w:val="center"/>
          </w:tcPr>
          <w:p>
            <w:r/>
            <w:r>
              <w:rPr>
                <w:b w:val="0"/>
                <w:sz w:val="15"/>
              </w:rPr>
              <w:t>Workspace merged/split</w:t>
            </w:r>
          </w:p>
        </w:tc>
        <w:tc>
          <w:tcPr>
            <w:tcW w:type="dxa" w:w="7416"/>
            <w:vAlign w:val="center"/>
          </w:tcPr>
          <w:p>
            <w:r/>
            <w:r>
              <w:rPr>
                <w:b w:val="0"/>
                <w:sz w:val="15"/>
              </w:rPr>
              <w:t>Not supported implicitly; requires explicit migration tool preserving ledgers/audit.</w:t>
            </w:r>
          </w:p>
        </w:tc>
      </w:tr>
      <w:tr>
        <w:tc>
          <w:tcPr>
            <w:tcW w:type="dxa" w:w="2880"/>
            <w:vAlign w:val="center"/>
          </w:tcPr>
          <w:p>
            <w:r/>
            <w:r>
              <w:rPr>
                <w:b w:val="0"/>
                <w:sz w:val="15"/>
              </w:rPr>
              <w:t>AI job times out after provider consumed cost</w:t>
            </w:r>
          </w:p>
        </w:tc>
        <w:tc>
          <w:tcPr>
            <w:tcW w:type="dxa" w:w="7416"/>
            <w:vAlign w:val="center"/>
          </w:tcPr>
          <w:p>
            <w:r/>
            <w:r>
              <w:rPr>
                <w:b w:val="0"/>
                <w:sz w:val="15"/>
              </w:rPr>
              <w:t>Settle verified consumed portion; preserve artifacts; allow safe retry with new estimate.</w:t>
            </w:r>
          </w:p>
        </w:tc>
      </w:tr>
      <w:tr>
        <w:tc>
          <w:tcPr>
            <w:tcW w:type="dxa" w:w="2880"/>
            <w:vAlign w:val="center"/>
          </w:tcPr>
          <w:p>
            <w:r/>
            <w:r>
              <w:rPr>
                <w:b w:val="0"/>
                <w:sz w:val="15"/>
              </w:rPr>
              <w:t>Negative capacity due to delayed settlement</w:t>
            </w:r>
          </w:p>
        </w:tc>
        <w:tc>
          <w:tcPr>
            <w:tcW w:type="dxa" w:w="7416"/>
            <w:vAlign w:val="center"/>
          </w:tcPr>
          <w:p>
            <w:r/>
            <w:r>
              <w:rPr>
                <w:b w:val="0"/>
                <w:sz w:val="15"/>
              </w:rPr>
              <w:t>Block new reservations; notify/admin reconcile; never erase ledger.</w:t>
            </w:r>
          </w:p>
        </w:tc>
      </w:tr>
      <w:tr>
        <w:tc>
          <w:tcPr>
            <w:tcW w:type="dxa" w:w="2880"/>
            <w:vAlign w:val="center"/>
          </w:tcPr>
          <w:p>
            <w:r/>
            <w:r>
              <w:rPr>
                <w:b w:val="0"/>
                <w:sz w:val="15"/>
              </w:rPr>
              <w:t>Client Viewer initiates AI task</w:t>
            </w:r>
          </w:p>
        </w:tc>
        <w:tc>
          <w:tcPr>
            <w:tcW w:type="dxa" w:w="7416"/>
            <w:vAlign w:val="center"/>
          </w:tcPr>
          <w:p>
            <w:r/>
            <w:r>
              <w:rPr>
                <w:b w:val="0"/>
                <w:sz w:val="15"/>
              </w:rPr>
              <w:t>Block unless explicitly granted a permitted AI-enabled role/entitlement; default no allowance.</w:t>
            </w:r>
          </w:p>
        </w:tc>
      </w:tr>
      <w:tr>
        <w:tc>
          <w:tcPr>
            <w:tcW w:type="dxa" w:w="2880"/>
            <w:vAlign w:val="center"/>
          </w:tcPr>
          <w:p>
            <w:r/>
            <w:r>
              <w:rPr>
                <w:b w:val="0"/>
                <w:sz w:val="15"/>
              </w:rPr>
              <w:t>Deletion while invoice dispute exists</w:t>
            </w:r>
          </w:p>
        </w:tc>
        <w:tc>
          <w:tcPr>
            <w:tcW w:type="dxa" w:w="7416"/>
            <w:vAlign w:val="center"/>
          </w:tcPr>
          <w:p>
            <w:r/>
            <w:r>
              <w:rPr>
                <w:b w:val="0"/>
                <w:sz w:val="15"/>
              </w:rPr>
              <w:t>Operational data deletion follows policy; retain minimal dispute evidence legally required.</w:t>
            </w:r>
          </w:p>
        </w:tc>
      </w:tr>
    </w:tbl>
    <w:p/>
    <w:p>
      <w:pPr>
        <w:pStyle w:val="Heading1"/>
      </w:pPr>
      <w:r>
        <w:t>40. Security, Reliability and Compliance</w:t>
      </w:r>
    </w:p>
    <w:p>
      <w:pPr>
        <w:pStyle w:val="ListBullet"/>
      </w:pPr>
      <w:r>
        <w:t>Use encrypted secret storage and tokenized payment-provider references; SEnuke AI never stores raw payment card details.</w:t>
      </w:r>
    </w:p>
    <w:p>
      <w:pPr>
        <w:pStyle w:val="ListBullet"/>
      </w:pPr>
      <w:r>
        <w:t>Enforce workspace isolation at database query, service and API authorization layers.</w:t>
      </w:r>
    </w:p>
    <w:p>
      <w:pPr>
        <w:pStyle w:val="ListBullet"/>
      </w:pPr>
      <w:r>
        <w:t>All commercial mutations are idempotent and transactional where possible.</w:t>
      </w:r>
    </w:p>
    <w:p>
      <w:pPr>
        <w:pStyle w:val="ListBullet"/>
      </w:pPr>
      <w:r>
        <w:t>Use outbox/inbox patterns for cross-service event reliability.</w:t>
      </w:r>
    </w:p>
    <w:p>
      <w:pPr>
        <w:pStyle w:val="ListBullet"/>
      </w:pPr>
      <w:r>
        <w:t>Financial amounts use integer minor units plus ISO currency code.</w:t>
      </w:r>
    </w:p>
    <w:p>
      <w:pPr>
        <w:pStyle w:val="ListBullet"/>
      </w:pPr>
      <w:r>
        <w:t>Timestamps are stored in UTC and displayed in user/workspace locale.</w:t>
      </w:r>
    </w:p>
    <w:p>
      <w:pPr>
        <w:pStyle w:val="ListBullet"/>
      </w:pPr>
      <w:r>
        <w:t>Backups and disaster recovery must preserve subscription, entitlement, ledger and audit consistency.</w:t>
      </w:r>
    </w:p>
    <w:p>
      <w:pPr>
        <w:pStyle w:val="ListBullet"/>
      </w:pPr>
      <w:r>
        <w:t>Reconciliation dashboards and alerts are launch-critical.</w:t>
      </w:r>
    </w:p>
    <w:p>
      <w:pPr>
        <w:pStyle w:val="ListBullet"/>
      </w:pPr>
      <w:r>
        <w:t>Privacy deletion must be balanced with legally required financial retention and documented by jurisdictional policy.</w:t>
      </w:r>
    </w:p>
    <w:p>
      <w:pPr>
        <w:pStyle w:val="Heading1"/>
      </w:pPr>
      <w:r>
        <w:t>41. Acceptance Criteria</w:t>
      </w:r>
    </w:p>
    <w:p>
      <w:r>
        <w:t>AC-001  One paid checkout provisions exactly one workspace subscription and its entitlements, even when events are duplicated or reordered.</w:t>
      </w:r>
    </w:p>
    <w:p>
      <w:r>
        <w:t>AC-002  Each workspace resolves access independently for a user belonging to multiple workspaces.</w:t>
      </w:r>
    </w:p>
    <w:p>
      <w:r>
        <w:t>AC-003  Plan limits are configuration-driven and historical subscribers retain their sold PlanVersion/PriceVersion.</w:t>
      </w:r>
    </w:p>
    <w:p>
      <w:r>
        <w:t>AC-004  Starter, Business and Agency monthly/annual prices can be configured exactly as approved without code changes.</w:t>
      </w:r>
    </w:p>
    <w:p>
      <w:r>
        <w:t>AC-005  Founding eligibility and protected pricing survive normal successful renewals and approved transitions but are not silently preserved after ineligible cancellation/reactivation.</w:t>
      </w:r>
    </w:p>
    <w:p>
      <w:r>
        <w:t>AC-006  Active Project and Agency Client limits enforce creation/reactivation without deleting existing data.</w:t>
      </w:r>
    </w:p>
    <w:p>
      <w:r>
        <w:t>AC-007  Archived Projects/Clients stop cost-incurring execution and release active slots.</w:t>
      </w:r>
    </w:p>
    <w:p>
      <w:r>
        <w:t>AC-008  One included Owner seat exists; paid/complimentary seat quantities and assignments reconcile correctly.</w:t>
      </w:r>
    </w:p>
    <w:p>
      <w:r>
        <w:t>AC-009  Client Viewer is client-scoped and has no default AI allowance.</w:t>
      </w:r>
    </w:p>
    <w:p>
      <w:r>
        <w:t>AC-010  Every expensive AI action is quoted/reserved through Capacity Engine before AI Orchestrator execution.</w:t>
      </w:r>
    </w:p>
    <w:p>
      <w:r>
        <w:t>AC-011  Actual usage settlement is idempotent and traceable to provider execution and customer-facing debit.</w:t>
      </w:r>
    </w:p>
    <w:p>
      <w:r>
        <w:t>AC-012  Annual subscribers receive monthly capacity releases rather than a full annual grant upfront.</w:t>
      </w:r>
    </w:p>
    <w:p>
      <w:r>
        <w:t>AC-013  Capacity Boost purchase updates balance only after confirmed payment and never changes plan limits.</w:t>
      </w:r>
    </w:p>
    <w:p>
      <w:r>
        <w:t>AC-014  Upgrade, downgrade and interval conversion show correct proration/effective date and do not double-grant capacity.</w:t>
      </w:r>
    </w:p>
    <w:p>
      <w:r>
        <w:t>AC-015  Failed payment enters grace, then read-only, without immediate deletion; successful recovery restores access once.</w:t>
      </w:r>
    </w:p>
    <w:p>
      <w:r>
        <w:t>AC-016  Cancellation, retention and permanent deletion are separate states/workflows.</w:t>
      </w:r>
    </w:p>
    <w:p>
      <w:r>
        <w:t>AC-017  Admin adjustments are permission-controlled, reasoned and audited.</w:t>
      </w:r>
    </w:p>
    <w:p>
      <w:r>
        <w:t>AC-018  Provider and internal commercial state reconcile automatically and expose actionable incidents.</w:t>
      </w:r>
    </w:p>
    <w:p>
      <w:r>
        <w:t>AC-019  All customer notifications are deduplicated and accurately describe the current state.</w:t>
      </w:r>
    </w:p>
    <w:p>
      <w:r>
        <w:t>AC-020  No module authorizes access by comparing a plan-name string.</w:t>
      </w:r>
    </w:p>
    <w:p>
      <w:pPr>
        <w:pStyle w:val="Heading1"/>
      </w:pPr>
      <w:r>
        <w:t>42. Launch-Critical Implementation Sequence</w:t>
      </w:r>
    </w:p>
    <w:p>
      <w:pPr>
        <w:pStyle w:val="ListNumber"/>
      </w:pPr>
      <w:r>
        <w:t>Resolve DEV numbering conflict by renumbering the existing AI Website Generation Engine specification.</w:t>
      </w:r>
    </w:p>
    <w:p>
      <w:pPr>
        <w:pStyle w:val="ListNumber"/>
      </w:pPr>
      <w:r>
        <w:t>Implement versioned Commercial Catalogue and seed locked plan/price/policy configuration.</w:t>
      </w:r>
    </w:p>
    <w:p>
      <w:pPr>
        <w:pStyle w:val="ListNumber"/>
      </w:pPr>
      <w:r>
        <w:t>Implement Subscription and Billing Event state machines with provider adapter and idempotency.</w:t>
      </w:r>
    </w:p>
    <w:p>
      <w:pPr>
        <w:pStyle w:val="ListNumber"/>
      </w:pPr>
      <w:r>
        <w:t>Implement Entitlement Service and replace plan-name checks throughout modules.</w:t>
      </w:r>
    </w:p>
    <w:p>
      <w:pPr>
        <w:pStyle w:val="ListNumber"/>
      </w:pPr>
      <w:r>
        <w:t>Implement Seat Service, project/client limit enforcement and workspace access modes.</w:t>
      </w:r>
    </w:p>
    <w:p>
      <w:pPr>
        <w:pStyle w:val="ListNumber"/>
      </w:pPr>
      <w:r>
        <w:t>Implement Capacity ledger, quote/reserve/settle APIs and AI Orchestrator integration.</w:t>
      </w:r>
    </w:p>
    <w:p>
      <w:pPr>
        <w:pStyle w:val="ListNumber"/>
      </w:pPr>
      <w:r>
        <w:t>Implement failed-payment, grace, read-only, reactivation and retention workflows.</w:t>
      </w:r>
    </w:p>
    <w:p>
      <w:pPr>
        <w:pStyle w:val="ListNumber"/>
      </w:pPr>
      <w:r>
        <w:t>Implement customer billing/usage UI and required notifications.</w:t>
      </w:r>
    </w:p>
    <w:p>
      <w:pPr>
        <w:pStyle w:val="ListNumber"/>
      </w:pPr>
      <w:r>
        <w:t>Implement Operations Command Center reconciliation, replay and adjustment tools.</w:t>
      </w:r>
    </w:p>
    <w:p>
      <w:pPr>
        <w:pStyle w:val="ListNumber"/>
      </w:pPr>
      <w:r>
        <w:t>Complete end-to-end billing, concurrency, failure, downgrade, cancellation and deletion tests before launch.</w:t>
      </w:r>
    </w:p>
    <w:p>
      <w:pPr>
        <w:pStyle w:val="Heading1"/>
      </w:pPr>
      <w:r>
        <w:t>43. Future Extensibility</w:t>
      </w:r>
    </w:p>
    <w:p>
      <w:pPr>
        <w:pStyle w:val="ListBullet"/>
      </w:pPr>
      <w:r>
        <w:t>Additional plans, regional pricing, currencies, tax models and enterprise contracts through new catalogue versions.</w:t>
      </w:r>
    </w:p>
    <w:p>
      <w:pPr>
        <w:pStyle w:val="ListBullet"/>
      </w:pPr>
      <w:r>
        <w:t>Usage-based overage billing, larger Agency bundles and auto-replenishment without replacing the ledger.</w:t>
      </w:r>
    </w:p>
    <w:p>
      <w:pPr>
        <w:pStyle w:val="ListBullet"/>
      </w:pPr>
      <w:r>
        <w:t>Additional add-ons such as storage, rank tracking, publishing volume, hosting or premium integrations.</w:t>
      </w:r>
    </w:p>
    <w:p>
      <w:pPr>
        <w:pStyle w:val="ListBullet"/>
      </w:pPr>
      <w:r>
        <w:t>Multiple billing providers and direct/affiliate checkout paths using the same internal model.</w:t>
      </w:r>
    </w:p>
    <w:p>
      <w:pPr>
        <w:pStyle w:val="ListBullet"/>
      </w:pPr>
      <w:r>
        <w:t>Parent organizations with multiple paid workspaces while preserving workspace-first entitlements.</w:t>
      </w:r>
    </w:p>
    <w:p>
      <w:pPr>
        <w:pStyle w:val="ListBullet"/>
      </w:pPr>
      <w:r>
        <w:t>Marketplace/reseller entitlements, negotiated contracts and account credits.</w:t>
      </w:r>
    </w:p>
    <w:p>
      <w:pPr>
        <w:pStyle w:val="ListBullet"/>
      </w:pPr>
      <w:r>
        <w:t>Advanced V2 AI cost optimization, provider benchmarking and autonomous orchestration feeding internal cost accounting.</w:t>
      </w:r>
    </w:p>
    <w:p>
      <w:pPr>
        <w:pStyle w:val="ListBullet"/>
      </w:pPr>
      <w:r>
        <w:t>Commercial experimentation using campaign/price versions without mutating existing subscriptions.</w:t>
      </w:r>
    </w:p>
    <w:p>
      <w:pPr>
        <w:pStyle w:val="Heading1"/>
      </w:pPr>
      <w:r>
        <w:t>44. Final Governing Statement</w:t>
      </w:r>
    </w:p>
    <w:p>
      <w:pPr>
        <w:pStyle w:val="Callout"/>
      </w:pPr>
      <w:r>
        <w:t>DEV-030 governs all SEnuke AI commercial implementation. The workspace is the licensing boundary; the Subscription Service controls lifecycle; the Entitlement Service controls access; the Capacity Engine controls metered usage; and the AI Orchestrator controls cost-efficient execution. No feature module, billing provider, administrator or client application may bypass these services or create an independent interpretation of plan, seat, project, capacity, Founding, legacy, payment, retention or deletion rules.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Permanent Development Master Specification | Confidential Internal Development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SEnuke AI | DEV-030 | Commercial Architecture, Licensing &amp; Billing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85E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360" w:right="360"/>
    </w:pPr>
    <w:rPr>
      <w:rFonts w:ascii="Arial" w:hAnsi="Arial"/>
      <w:b/>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