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i w:val="0"/>
          <w:color w:val="2E74B5"/>
          <w:sz w:val="22"/>
        </w:rPr>
        <w:t>DEV-059</w:t>
      </w:r>
    </w:p>
    <w:p>
      <w:pPr>
        <w:pStyle w:val="Title"/>
      </w:pPr>
      <w:r>
        <w:t>Plan Capacity, Seats, Top-ups &amp; Workspace Limitations</w:t>
      </w:r>
    </w:p>
    <w:p>
      <w:pPr>
        <w:pStyle w:val="Subtitle"/>
      </w:pPr>
      <w:r>
        <w:t>Authoritative commercial, billing, entitlement and Capacity Engine implementation handoff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Decision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Locked implementation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Differentiation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All plans receive the complete SEnuke AI Growth Operating System. Plans differ by included AI Capacity and workspace infrastructure, not withheld core capabilities.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Usage control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No customer-facing limits on projects, websites, stores, integrations or ecommerce properties. Chargeable work is governed by AI Capacity.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Paid seats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Paid seats add access only. They add zero AI Capacity units.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Source of truth: </w:t>
            </w:r>
            <w:r>
              <w:rPr>
                <w:rFonts w:ascii="Calibri" w:hAnsi="Calibri"/>
                <w:b w:val="0"/>
                <w:i w:val="0"/>
                <w:color w:val="222222"/>
                <w:sz w:val="22"/>
              </w:rPr>
              <w:t>Plan entitlements, seats, capacity, top-ups and permissions must be enforced through authoritative server-side configuration. Prompts and interface copy must never be the enforcement layer.</w:t>
            </w:r>
          </w:p>
        </w:tc>
      </w:tr>
    </w:tbl>
    <w:p>
      <w:pPr>
        <w:spacing w:after="20"/>
      </w:pPr>
    </w:p>
    <w:p>
      <w:pPr>
        <w:pStyle w:val="Heading1"/>
      </w:pPr>
      <w:r>
        <w:t>1. Canonical plans and included capacity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350"/>
        <w:gridCol w:w="1900"/>
        <w:gridCol w:w="2250"/>
        <w:gridCol w:w="26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Plan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Workspace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Included seats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Monthly AI Capacity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Approx. maximum internal AI/API exposure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Starter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Personal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Owner only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2,000 units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Up to approximately $20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Business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Business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Owner only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5,000 units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Up to approximately $50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Agency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Agency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Owner + 2 team seats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18,000 units shared by all authorized users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Up to approximately $180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Agency seat rule: </w:t>
            </w:r>
            <w:r>
              <w:rPr>
                <w:rFonts w:ascii="Calibri" w:hAnsi="Calibri"/>
                <w:b w:val="0"/>
                <w:i w:val="0"/>
                <w:color w:val="222222"/>
                <w:sz w:val="22"/>
              </w:rPr>
              <w:t>The two included Agency team seats do not add capacity. The Owner and both included team members share the single 18,000-unit workspace pool.</w:t>
            </w:r>
          </w:p>
        </w:tc>
      </w:tr>
    </w:tbl>
    <w:p>
      <w:pPr>
        <w:spacing w:after="20"/>
      </w:pPr>
    </w:p>
    <w:p>
      <w:pPr>
        <w:pStyle w:val="Heading1"/>
      </w:pPr>
      <w:r>
        <w:t>2. Customer value progression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200"/>
        <w:gridCol w:w="55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Plan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Capacity relationship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What the customer is buying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Starter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1x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Complete SEnuke AI for lighter operating needs.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Business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2.5x Starter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Complete SEnuke AI with substantially greater monthly operating capacity.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Agency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9x Starter / 3.6x Business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Agency-scale capacity plus clients, team permissions, proposals and agency reporting/workflows.</w:t>
            </w:r>
          </w:p>
        </w:tc>
      </w:tr>
    </w:tbl>
    <w:p>
      <w:pPr>
        <w:spacing w:after="20"/>
      </w:pPr>
    </w:p>
    <w:p>
      <w:r>
        <w:t>The upgrade reason is not access to an artificially restricted feature. It is the need for more SEnuke AI work each month or the need to manage growth for clients.</w:t>
      </w:r>
    </w:p>
    <w:p>
      <w:pPr>
        <w:pStyle w:val="Heading1"/>
      </w:pPr>
      <w:r>
        <w:t>3. Capabilities available to every plan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Business Discovery, Opportunity Finder and idea validation.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Keyword, intent, competitor, market, technical SEO and content intelligence.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SEO, AEO, GEO, entity, topical-authority and AI-citation capabilities.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Strategy Builder, Execution Plan, approvals, publishing and Next Best Actions.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Website analysis, website generation and website management.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Ecommerce stores, products, categories, collections, optimization and measurement.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Local business capabilities where relevant.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Integrations, tracking, reporting, Growth Engine and continuous learning.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Guided and Advanced modes, subject to role permissions and available capacity.</w:t>
      </w:r>
    </w:p>
    <w:p>
      <w:pPr>
        <w:pStyle w:val="Heading1"/>
      </w:pPr>
      <w:r>
        <w:t>4. Workspace-specific limitations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Workspace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Allowed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Structural limitations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Starter / Personal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Owner manages their own businesses, projects, websites, stores and integrations.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Single named user. No team seats, clients, Client Viewers, agency proposals, client hierarchy or agency portfolio reporting.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Business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Owner may purchase named team seats. Team grows the workspace owner’s business operations.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No clients, Client Viewers, agency client hierarchy, cross-client reporting or agency proposal workflow.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Agency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Owner, included/purchased team members and Client Viewers operate through Workspace -&gt; Clients -&gt; Projects.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All data/actions must be client-scoped. Client Viewers are read-only and cannot initiate AI work. No cross-client exposure.</w:t>
            </w:r>
          </w:p>
        </w:tc>
      </w:tr>
    </w:tbl>
    <w:p>
      <w:pPr>
        <w:spacing w:after="20"/>
      </w:pPr>
    </w:p>
    <w:p>
      <w:pPr>
        <w:pStyle w:val="Heading1"/>
      </w:pPr>
      <w:r>
        <w:t>5. Unlimited/flexible resources</w:t>
      </w:r>
    </w:p>
    <w:p>
      <w:r>
        <w:t>Do not implement ordinary customer-facing count limits for the following. Their existence alone consumes no AI Capacity: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Projects and Discovery Drafts.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Websites and landing pages.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Ecommerce stores, products, categories and collections.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Connected domains and supported integrations.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Reports, saved strategies and Execution Plans.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Client records in Agency.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Tracked properties and historical results, subject only to documented technical retention/security safeguards.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Technical safeguards: </w:t>
            </w:r>
            <w:r>
              <w:rPr>
                <w:rFonts w:ascii="Calibri" w:hAnsi="Calibri"/>
                <w:b w:val="0"/>
                <w:i w:val="0"/>
                <w:color w:val="222222"/>
                <w:sz w:val="22"/>
              </w:rPr>
              <w:t>Internal rate, concurrency, storage, payload, security and abuse-prevention controls are still required. They must not be represented as commercial feature limits unless product leadership explicitly changes the plan.</w:t>
            </w:r>
          </w:p>
        </w:tc>
      </w:tr>
    </w:tbl>
    <w:p>
      <w:pPr>
        <w:spacing w:after="20"/>
      </w:pPr>
    </w:p>
    <w:p>
      <w:pPr>
        <w:pStyle w:val="Heading1"/>
      </w:pPr>
      <w:r>
        <w:t>6. Included and paid seats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1000"/>
        <w:gridCol w:w="2500"/>
        <w:gridCol w:w="3510"/>
      </w:tblGrid>
      <w:tr>
        <w:trPr>
          <w:tblHeader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Plan/seat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Included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Can initiate AI work?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Capacity added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Starter Owner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Yes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Uses shared 2,000-unit pool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Business Owner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Yes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Uses shared 5,000-unit pool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Purchased Business seat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No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According to role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0 units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Agency Owner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Yes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Uses shared 18,000-unit pool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Included Agency team seat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According to role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0 units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Purchased Agency seat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No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According to role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0 units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Viewer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Role only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No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0 units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Client Viewer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Agency only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No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0 units</w:t>
            </w:r>
          </w:p>
        </w:tc>
      </w:tr>
    </w:tbl>
    <w:p>
      <w:pPr>
        <w:spacing w:after="20"/>
      </w:pPr>
    </w:p>
    <w:p>
      <w:pPr>
        <w:pStyle w:val="Heading1"/>
      </w:pPr>
      <w:r>
        <w:t>7. Recommended paid-seat prices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050"/>
        <w:gridCol w:w="1050"/>
        <w:gridCol w:w="1850"/>
        <w:gridCol w:w="321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Seat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Monthly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Annual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Included AI Capacity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Reasoning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Business team seat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$29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$290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0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Named access, permissions, collaboration and activity history.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Agency team seat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$49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$490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0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Named access across authorized clients plus agency workflows and reporting.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Client Viewer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$0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N/A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0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Read-only client access; cannot initiate AI work.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Billing rule: </w:t>
            </w:r>
            <w:r>
              <w:rPr>
                <w:rFonts w:ascii="Calibri" w:hAnsi="Calibri"/>
                <w:b w:val="0"/>
                <w:i w:val="0"/>
                <w:color w:val="222222"/>
                <w:sz w:val="22"/>
              </w:rPr>
              <w:t>Annual seat pricing equals ten months for twelve, consistent with annual workspace pricing. Affiliate commissions apply to qualifying seat purchases and renewals according to the approved commercial rules.</w:t>
            </w:r>
          </w:p>
        </w:tc>
      </w:tr>
    </w:tbl>
    <w:p>
      <w:pPr>
        <w:spacing w:after="20"/>
      </w:pPr>
    </w:p>
    <w:p>
      <w:r>
        <w:t>Paid seats must never silently increase the workspace capacity balance. If more work is required, the customer purchases a Capacity Pack or upgrades the workspace plan.</w:t>
      </w:r>
    </w:p>
    <w:p>
      <w:pPr>
        <w:pStyle w:val="Heading1"/>
      </w:pPr>
      <w:r>
        <w:t>8. Seat and role enforcement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Seats are named, workspace-owned and cannot be shared concurrently by multiple people.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Owner seat is included and cannot be deleted while the workspace remains active.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Agency includes exactly two additional team-seat entitlements beyond the Owner.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Business includes no additional team seat; the first collaborator requires a paid seat.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Purchased seat activation is immediate after valid payment; removal follows the approved billing effective date.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Removing a seat revokes access without deleting the user’s authored history or project data.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Approver, Editor, Viewer and Client Viewer permissions are enforced server-side.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 Viewer or Client Viewer must not access AI endpoints through hidden routes, APIs or manipulated UI requests.</w:t>
      </w:r>
    </w:p>
    <w:p>
      <w:pPr>
        <w:pStyle w:val="Heading1"/>
      </w:pPr>
      <w:r>
        <w:t>9. Capacity Packs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100"/>
        <w:gridCol w:w="2600"/>
        <w:gridCol w:w="2360"/>
        <w:gridCol w:w="160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Pack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Price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Effective price per 1,000 units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Approx. internal exposure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Expiry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1,000 units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$29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$29.00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Up to approximately $10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Does not expire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3,000 units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$69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$23.00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Up to approximately $30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Does not expire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10,000 units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$199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$19.90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Up to approximately $100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Does not expire</w:t>
            </w:r>
          </w:p>
        </w:tc>
      </w:tr>
    </w:tbl>
    <w:p>
      <w:pPr>
        <w:spacing w:after="20"/>
      </w:pPr>
    </w:p>
    <w:p>
      <w:r>
        <w:t>Capacity Packs are workspace-owned. Purchased units remain available until consumed, including across monthly renewal, plan upgrade or monthly-to-annual conversion while the workspace remains active.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Consumption order: </w:t>
            </w:r>
            <w:r>
              <w:rPr>
                <w:rFonts w:ascii="Calibri" w:hAnsi="Calibri"/>
                <w:b w:val="0"/>
                <w:i w:val="0"/>
                <w:color w:val="222222"/>
                <w:sz w:val="22"/>
              </w:rPr>
              <w:t>Consume included monthly capacity first, then purchased Capacity Pack balances. This prevents customers from losing included capacity while preserving their non-expiring purchased balance.</w:t>
            </w:r>
          </w:p>
        </w:tc>
      </w:tr>
    </w:tbl>
    <w:p>
      <w:pPr>
        <w:spacing w:after="20"/>
      </w:pPr>
    </w:p>
    <w:p>
      <w:pPr>
        <w:pStyle w:val="Heading1"/>
      </w:pPr>
      <w:r>
        <w:t>10. Capacity Pack economics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400"/>
        <w:gridCol w:w="1750"/>
        <w:gridCol w:w="1700"/>
        <w:gridCol w:w="1700"/>
        <w:gridCol w:w="176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Pack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Gross price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Illustrative 30% affiliate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Illustrative 8.5% processing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Approx. API exposure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Approx. remainder before other costs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1,000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$29.00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$8.70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$2.47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$10.00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$7.83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3,000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$69.00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$20.70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$5.87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$30.00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$12.43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10,000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$199.00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$59.70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$16.92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$100.00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$22.38</w:t>
            </w:r>
          </w:p>
        </w:tc>
      </w:tr>
    </w:tbl>
    <w:p>
      <w:pPr>
        <w:spacing w:after="20"/>
      </w:pPr>
    </w:p>
    <w:p>
      <w:r>
        <w:t>These are conservative maximum-exposure illustrations, not guaranteed margins. The Orchestrator should normally deliver workflows below the maximum through model routing, caching, reuse and validation. Finance reporting must track actual successful-workflow cost, refunds, affiliate eligibility and processing fees.</w:t>
      </w:r>
    </w:p>
    <w:p>
      <w:pPr>
        <w:pStyle w:val="Heading1"/>
      </w:pPr>
      <w:r>
        <w:t>11. Monthly capacity lifecycle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Included capacity resets on the workspace billing-cycle boundary.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Unused included capacity does not roll over.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Purchased Capacity Pack units do not expire and are not reset.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Capacity belongs to the workspace and is shared by all users authorized to initiate AI work.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Warnings appear at 75%, 90% and 100% of included capacity, while also showing any purchased balance.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At zero available capacity, the workspace remains accessible in read-only/non-AI mode.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Non-AI tracking, connected-data collection and previously stored results continue.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Valid upgrades and Capacity Pack purchases activate immediately.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Downgrades take effect on the next billing cycle.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Cancellation/suspension follows the approved read-only and retention policy.</w:t>
      </w:r>
    </w:p>
    <w:p>
      <w:pPr>
        <w:pStyle w:val="Heading1"/>
      </w:pPr>
      <w:r>
        <w:t>12. Reservation, charging and refunds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Stage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Required behaviour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Estimate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The Orchestrator calculates Expected Successful Workflow Cost before expensive work.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Disclose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Show an understandable estimate/range before high-capacity actions.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Reserve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Reserve sufficient capacity before queuing background work.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Execute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Charge from the reservation as validated work is completed.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Retry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Internal retries, provider fallback and validation retries do not double-charge the customer.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Partial result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Charge only under an approved partial-success rule that produced clearly usable output.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Failure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Automatically refund/release capacity when no usable result is produced.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Cancellation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Release unused reserved capacity; retain only an approved charge for usable completed work.</w:t>
            </w:r>
          </w:p>
        </w:tc>
      </w:tr>
    </w:tbl>
    <w:p>
      <w:pPr>
        <w:spacing w:after="20"/>
      </w:pPr>
    </w:p>
    <w:p>
      <w:pPr>
        <w:pStyle w:val="Heading1"/>
      </w:pPr>
      <w:r>
        <w:t>13. Internal workflow capacity estimates</w:t>
      </w:r>
    </w:p>
    <w:p>
      <w:r>
        <w:t>These ranges are planning estimates only. Do not publish or hard-code them as customer promises. Actual units must be determined by the Orchestrator’s Expected Successful Workflow Cost and recorded with versioned pricing logic.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00"/>
        <w:gridCol w:w="2100"/>
        <w:gridCol w:w="3160"/>
      </w:tblGrid>
      <w:tr>
        <w:trPr>
          <w:tblHeader w:val="true"/>
        </w:trP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Workflow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Estimated units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Approx. maximum API cost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Simple AI assistance or rewrite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5-15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$0.05-$0.15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Business Discovery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75-150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$0.75-$1.50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Opportunity set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100-200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$1.00-$2.00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Keyword and intent intelligence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100-250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$1.00-$2.50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Site analysis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150-500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$1.50-$5.00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Competitor analysis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150-350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$1.50-$3.50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SEO/AEO/GEO analysis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150-400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$1.50-$4.00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Growth Strategy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250-600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$2.50-$6.00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Optimized article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50-120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$0.50-$1.20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Landing page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75-175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$0.75-$1.75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Small website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500-1,200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$5.00-$12.00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Ecommerce product optimization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15-40 per product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$0.15-$0.40 per product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Ecommerce category analysis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75-200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$0.75-$2.00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Report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50-150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$0.50-$1.50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Growth Engine evaluation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75-200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$0.75-$2.00</w:t>
            </w:r>
          </w:p>
        </w:tc>
      </w:tr>
      <w:tr>
        <w:trPr>
          <w:cantSplit/>
        </w:trPr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Next Best Action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10-40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$0.10-$0.40</w:t>
            </w:r>
          </w:p>
        </w:tc>
      </w:tr>
    </w:tbl>
    <w:p>
      <w:pPr>
        <w:spacing w:after="20"/>
      </w:pPr>
    </w:p>
    <w:p>
      <w:pPr>
        <w:pStyle w:val="Heading1"/>
      </w:pPr>
      <w:r>
        <w:t>14. Starter onboarding protection</w:t>
      </w:r>
    </w:p>
    <w:p>
      <w:r>
        <w:t>A representative initial month can consume approximately 1,895 units: Business Discovery 125; opportunity analysis 150; keyword analysis 200; site analysis 300; competitor analysis 250; Growth Strategy 450; four articles 320; and several Next Best Actions 100.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Show capacity estimates before onboarding launches expensive workflows.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Reuse intake and analysis results instead of regenerating the same intelligence.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Bundle compatible calls and use efficient model routing.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Consider an approved one-time onboarding subsidy or reduced-cost Growth Blueprint, but do not implement one without a commercial configuration decision.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Never let setup silently consume most of the month without an estimate and approval.</w:t>
      </w:r>
    </w:p>
    <w:p>
      <w:pPr>
        <w:pStyle w:val="Heading1"/>
      </w:pPr>
      <w:r>
        <w:t>15. Agency economics and monitoring</w:t>
      </w:r>
    </w:p>
    <w:p>
      <w:r>
        <w:t>At the $497 Founding monthly price, an illustrative 30% affiliate commission and 8.5% processing cost leave approximately $306 before AI/API and other operating costs. Full use of the approximately $180 API budget leaves roughly $126 before infrastructure and support.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Keep Agency at 18,000 units for launch.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Monitor Agency actual successful-workflow cost, concurrency, support and top-up behaviour weekly for the first 30-60 days.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Do not change customer balances retroactively.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Tune workflow unit pricing or future included capacity only through versioned plan configuration and approved customer communication.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Trigger internal alerts when actual API cost per unit materially exceeds the target conversion.</w:t>
      </w:r>
    </w:p>
    <w:p>
      <w:pPr>
        <w:pStyle w:val="Heading1"/>
      </w:pPr>
      <w:r>
        <w:t>16. Required configuration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Configuration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Required fields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Plan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plan_id, workspace_type, included_capacity, included_owner_seats, included_team_seats, feature_policy_version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Seat SKU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seat_type, workspace eligibility, monthly price, annual price, added_capacity=0, permitted roles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Capacity Pack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pack_id, units, price, non_expiring=true, workspace ownership, consumption priority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Workflow pricing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workflow_type, estimate range, reservation rule, actual-cost source, pricing version, effective date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Balance ledger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included grant, purchased grant, reservation, charge, release, refund, adjustment, expiry/reset metadata</w:t>
            </w:r>
          </w:p>
        </w:tc>
      </w:tr>
    </w:tbl>
    <w:p>
      <w:pPr>
        <w:spacing w:after="20"/>
      </w:pPr>
    </w:p>
    <w:p>
      <w:pPr>
        <w:pStyle w:val="Heading1"/>
      </w:pPr>
      <w:r>
        <w:t>17. Acceptance criteria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6570"/>
        <w:gridCol w:w="174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ID</w:t>
            </w:r>
          </w:p>
        </w:tc>
        <w:tc>
          <w:tcPr>
            <w:tcW w:type="dxa" w:w="657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Pass condition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AC-01</w:t>
            </w:r>
          </w:p>
        </w:tc>
        <w:tc>
          <w:tcPr>
            <w:tcW w:type="dxa" w:w="6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Starter, Business and Agency receive the complete approved capability set, including ecommerce.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[ ] Pass  [ ] Fail</w:t>
              <w:br/>
              <w:t>Evidence: _____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AC-02</w:t>
            </w:r>
          </w:p>
        </w:tc>
        <w:tc>
          <w:tcPr>
            <w:tcW w:type="dxa" w:w="6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Included monthly capacity is exactly 2,000, 5,000 and 18,000 units respectively.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[ ] Pass  [ ] Fail</w:t>
              <w:br/>
              <w:t>Evidence: _____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AC-03</w:t>
            </w:r>
          </w:p>
        </w:tc>
        <w:tc>
          <w:tcPr>
            <w:tcW w:type="dxa" w:w="6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Starter and Business include Owner only; Agency includes Owner plus two team seats.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[ ] Pass  [ ] Fail</w:t>
              <w:br/>
              <w:t>Evidence: _____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AC-04</w:t>
            </w:r>
          </w:p>
        </w:tc>
        <w:tc>
          <w:tcPr>
            <w:tcW w:type="dxa" w:w="6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Every included or purchased team seat adds exactly zero AI Capacity units.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[ ] Pass  [ ] Fail</w:t>
              <w:br/>
              <w:t>Evidence: _____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AC-05</w:t>
            </w:r>
          </w:p>
        </w:tc>
        <w:tc>
          <w:tcPr>
            <w:tcW w:type="dxa" w:w="6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Business and Agency seat SKUs charge the approved monthly/annual prices.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[ ] Pass  [ ] Fail</w:t>
              <w:br/>
              <w:t>Evidence: _____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AC-06</w:t>
            </w:r>
          </w:p>
        </w:tc>
        <w:tc>
          <w:tcPr>
            <w:tcW w:type="dxa" w:w="6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Client Viewer is read-only, adds zero capacity and cannot initiate AI work.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[ ] Pass  [ ] Fail</w:t>
              <w:br/>
              <w:t>Evidence: _____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AC-07</w:t>
            </w:r>
          </w:p>
        </w:tc>
        <w:tc>
          <w:tcPr>
            <w:tcW w:type="dxa" w:w="6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Projects, websites, stores, integrations and ecommerce properties have no commercial count limit.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[ ] Pass  [ ] Fail</w:t>
              <w:br/>
              <w:t>Evidence: _____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AC-08</w:t>
            </w:r>
          </w:p>
        </w:tc>
        <w:tc>
          <w:tcPr>
            <w:tcW w:type="dxa" w:w="6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Capacity Packs credit the correct non-expiring workspace balance immediately after valid payment.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[ ] Pass  [ ] Fail</w:t>
              <w:br/>
              <w:t>Evidence: _____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AC-09</w:t>
            </w:r>
          </w:p>
        </w:tc>
        <w:tc>
          <w:tcPr>
            <w:tcW w:type="dxa" w:w="6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Included capacity is consumed before purchased capacity and resets without affecting top-ups.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[ ] Pass  [ ] Fail</w:t>
              <w:br/>
              <w:t>Evidence: _____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AC-10</w:t>
            </w:r>
          </w:p>
        </w:tc>
        <w:tc>
          <w:tcPr>
            <w:tcW w:type="dxa" w:w="6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Reservations, releases, refunds and internal retries never double-charge.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[ ] Pass  [ ] Fail</w:t>
              <w:br/>
              <w:t>Evidence: _____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AC-11</w:t>
            </w:r>
          </w:p>
        </w:tc>
        <w:tc>
          <w:tcPr>
            <w:tcW w:type="dxa" w:w="6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Zero capacity blocks new AI work while retaining read-only access and non-AI tracking.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[ ] Pass  [ ] Fail</w:t>
              <w:br/>
              <w:t>Evidence: _____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AC-12</w:t>
            </w:r>
          </w:p>
        </w:tc>
        <w:tc>
          <w:tcPr>
            <w:tcW w:type="dxa" w:w="6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All capacity, seat and role checks are server-side and workspace-scoped.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[ ] Pass  [ ] Fail</w:t>
              <w:br/>
              <w:t>Evidence: _____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AC-13</w:t>
            </w:r>
          </w:p>
        </w:tc>
        <w:tc>
          <w:tcPr>
            <w:tcW w:type="dxa" w:w="6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No cross-workspace or cross-client balance, seat, project or data exposure is possible.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[ ] Pass  [ ] Fail</w:t>
              <w:br/>
              <w:t>Evidence: _____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AC-14</w:t>
            </w:r>
          </w:p>
        </w:tc>
        <w:tc>
          <w:tcPr>
            <w:tcW w:type="dxa" w:w="6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Customer screens show current balance, reserved units, purchased balance, reset date and useful warnings.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[ ] Pass  [ ] Fail</w:t>
              <w:br/>
              <w:t>Evidence: _____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AC-15</w:t>
            </w:r>
          </w:p>
        </w:tc>
        <w:tc>
          <w:tcPr>
            <w:tcW w:type="dxa" w:w="6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Finance/operations can reconcile each unit movement to a workflow, purchase, reset, refund or adjustment.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[ ] Pass  [ ] Fail</w:t>
              <w:br/>
              <w:t>Evidence: _____</w:t>
            </w:r>
          </w:p>
        </w:tc>
      </w:tr>
    </w:tbl>
    <w:p>
      <w:pPr>
        <w:spacing w:after="20"/>
      </w:pPr>
    </w:p>
    <w:p>
      <w:pPr>
        <w:pStyle w:val="Heading1"/>
      </w:pPr>
      <w:r>
        <w:t>18. Definition of Done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Canonical plan, seat and Capacity Pack configurations are deployed from one source of truth.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Paid-seat added_capacity is verified as zero across billing, UI, ledger and API paths.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Capacity reservations, consumption order, resets, refunds and top-ups pass ledger reconciliation.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All plans can use ecommerce and the complete approved capability set.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Workspace and role limitations pass server-side authorization tests.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Starter onboarding estimates and warnings prevent unexpected depletion.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Agency cost monitoring and Operations Command Center reporting are active.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All 15 acceptance criteria pass with evidence and product, engineering, QA and finance approval.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200"/>
        <w:gridCol w:w="3460"/>
        <w:gridCol w:w="180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Approver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Name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Approval reference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Product owner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Engineering lead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QA lead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Finance/operations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Release rule: </w:t>
            </w:r>
            <w:r>
              <w:rPr>
                <w:rFonts w:ascii="Calibri" w:hAnsi="Calibri"/>
                <w:b w:val="0"/>
                <w:i w:val="0"/>
                <w:color w:val="222222"/>
                <w:sz w:val="22"/>
              </w:rPr>
              <w:t>Do not launch if paid seats add capacity, plan capabilities are withheld contrary to this document, ecommerce is plan-gated, top-up balances expire, failed work is charged unfairly, or capacity/seat data can cross workspace or client boundaries.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6666"/>
        <w:sz w:val="17"/>
      </w:rPr>
      <w:t>Plan Capacity, Seats, Top-ups &amp; Workspace Limitations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666666"/>
        <w:sz w:val="18"/>
      </w:rPr>
      <w:t>SEnuke AI Development Master | DEV-059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DEV-059 - Plan Capacity, Seats, Top-ups and Workspace Limitations</dc:title>
  <dc:subject>SEnuke AI authoritative plan, billing, seat and capacity implementation handoff</dc:subject>
  <dc:creator>SEnuke AI</dc:creator>
  <cp:keywords>SEnuke AI, Starter, Business, Agency, AI Capacity, seats, top-ups, ecommerce, limitations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