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64E95"/>
          <w:sz w:val="50"/>
        </w:rPr>
        <w:t>SENuke AI Internal Linking Strategy and Developer Notes</w:t>
      </w:r>
    </w:p>
    <w:p>
      <w:pPr>
        <w:jc w:val="center"/>
      </w:pPr>
      <w:r>
        <w:rPr>
          <w:color w:val="464646"/>
          <w:sz w:val="24"/>
        </w:rPr>
        <w:t>Keyword, city cluster, hub-and-spoke, and Website Model implementation guide</w:t>
      </w:r>
    </w:p>
    <w:p>
      <w:pPr>
        <w:jc w:val="center"/>
      </w:pPr>
      <w:r>
        <w:rPr>
          <w:color w:val="5A5A5A"/>
          <w:sz w:val="20"/>
        </w:rPr>
        <w:t>Version 1.0 | Prepared for SENuke AI Development</w:t>
      </w:r>
    </w:p>
    <w:p>
      <w:pPr>
        <w:spacing w:before="760"/>
      </w:pPr>
    </w:p>
    <w:tbl>
      <w:tblPr>
        <w:tblW w:type="auto" w:w="0"/>
        <w:jc w:val="center"/>
        <w:tblLayout w:type="autofit"/>
        <w:tblLook w:firstColumn="1" w:firstRow="1" w:lastColumn="0" w:lastRow="0" w:noHBand="0" w:noVBand="1" w:val="04A0"/>
      </w:tblPr>
      <w:tblGrid>
        <w:gridCol w:w="10224"/>
      </w:tblGrid>
      <w:tr>
        <w:trPr>
          <w:cantSplit/>
        </w:trPr>
        <w:tc>
          <w:tcPr>
            <w:tcW w:type="dxa" w:w="10224"/>
            <w:shd w:fill="EAF3FF"/>
            <w:tcMar>
              <w:top w:w="160" w:type="dxa"/>
              <w:start w:w="160" w:type="dxa"/>
              <w:bottom w:w="160" w:type="dxa"/>
              <w:end w:w="160" w:type="dxa"/>
            </w:tcMar>
            <w:tcBorders>
              <w:top w:val="single" w:sz="6" w:color="A6C8FF"/>
              <w:left w:val="single" w:sz="6" w:color="A6C8FF"/>
              <w:bottom w:val="single" w:sz="6" w:color="A6C8FF"/>
              <w:right w:val="single" w:sz="6" w:color="A6C8FF"/>
            </w:tcBorders>
          </w:tcPr>
          <w:p>
            <w:r>
              <w:rPr>
                <w:b/>
                <w:color w:val="164E95"/>
                <w:sz w:val="20"/>
              </w:rPr>
              <w:t>Core Principle</w:t>
            </w:r>
          </w:p>
          <w:p>
            <w:pPr>
              <w:spacing w:after="0"/>
            </w:pPr>
            <w:r>
              <w:rPr>
                <w:sz w:val="19"/>
              </w:rPr>
              <w:t>Internal linking is not random link insertion. SENuke AI should build a keyword-driven page relationship map, then place contextual links that help users, search engines, and answer engines understand the website structure.</w:t>
            </w:r>
          </w:p>
        </w:tc>
      </w:tr>
    </w:tbl>
    <w:p>
      <w:r>
        <w:br w:type="page"/>
      </w:r>
    </w:p>
    <w:p>
      <w:pPr>
        <w:pStyle w:val="Heading1"/>
        <w:pBdr>
          <w:bottom w:val="single" w:sz="8" w:space="1" w:color="D9E2F3"/>
        </w:pBdr>
      </w:pPr>
      <w:r>
        <w:t>1. Purpose</w:t>
      </w:r>
    </w:p>
    <w:p>
      <w:r>
        <w:t>This document explains how internal linking should work inside the SENuke AI Website Builder, especially for keyword-driven service pages, targeted city pages, and city cluster pages.</w:t>
      </w:r>
    </w:p>
    <w:p>
      <w:r>
        <w:t>The goal is to give developers a clear implementation model for generating, validating, previewing, and publishing internal links as part of the Website Model and Approved Release workflow.</w:t>
      </w:r>
    </w:p>
    <w:tbl>
      <w:tblPr>
        <w:tblW w:type="auto" w:w="0"/>
        <w:jc w:val="center"/>
        <w:tblLayout w:type="autofit"/>
        <w:tblLook w:firstColumn="1" w:firstRow="1" w:lastColumn="0" w:lastRow="0" w:noHBand="0" w:noVBand="1" w:val="04A0"/>
      </w:tblPr>
      <w:tblGrid>
        <w:gridCol w:w="10224"/>
      </w:tblGrid>
      <w:tr>
        <w:trPr>
          <w:cantSplit/>
        </w:trPr>
        <w:tc>
          <w:tcPr>
            <w:tcW w:type="dxa" w:w="10224"/>
            <w:shd w:fill="F2F7FF"/>
            <w:tcMar>
              <w:top w:w="160" w:type="dxa"/>
              <w:start w:w="160" w:type="dxa"/>
              <w:bottom w:w="160" w:type="dxa"/>
              <w:end w:w="160" w:type="dxa"/>
            </w:tcMar>
            <w:tcBorders>
              <w:top w:val="single" w:sz="6" w:color="A6C8FF"/>
              <w:left w:val="single" w:sz="6" w:color="A6C8FF"/>
              <w:bottom w:val="single" w:sz="6" w:color="A6C8FF"/>
              <w:right w:val="single" w:sz="6" w:color="A6C8FF"/>
            </w:tcBorders>
          </w:tcPr>
          <w:p>
            <w:r>
              <w:rPr>
                <w:b/>
                <w:color w:val="164E95"/>
                <w:sz w:val="20"/>
              </w:rPr>
              <w:t>Simple Definition</w:t>
            </w:r>
          </w:p>
          <w:p>
            <w:pPr>
              <w:spacing w:after="0"/>
            </w:pPr>
            <w:r>
              <w:rPr>
                <w:sz w:val="19"/>
              </w:rPr>
              <w:t>Internal links are links from one page of the same website to another page on the same website. They connect related pages, pass context, prevent orphan pages, and guide visitors toward conversion actions such as quote forms, booking pages, or contact pages.</w:t>
            </w:r>
          </w:p>
        </w:tc>
      </w:tr>
    </w:tbl>
    <w:p>
      <w:pPr>
        <w:pStyle w:val="Heading1"/>
        <w:pBdr>
          <w:bottom w:val="single" w:sz="8" w:space="1" w:color="D9E2F3"/>
        </w:pBdr>
      </w:pPr>
      <w:r>
        <w:t>2. Internal Linking in SENuke Architecture</w:t>
      </w:r>
    </w:p>
    <w:p>
      <w:r>
        <w:t>Internal linking should be generated as part of the SEO, AEO, and GEO model. It should not be added only at the final rendering stage.</w:t>
      </w:r>
    </w:p>
    <w:tbl>
      <w:tblPr>
        <w:tblW w:type="auto" w:w="0"/>
        <w:jc w:val="center"/>
        <w:tblLook w:firstColumn="1" w:firstRow="1" w:lastColumn="0" w:lastRow="0" w:noHBand="0" w:noVBand="1" w:val="04A0"/>
      </w:tblPr>
      <w:tblGrid>
        <w:gridCol w:w="10224"/>
      </w:tblGrid>
      <w:tr>
        <w:trPr>
          <w:cantSplit/>
        </w:trPr>
        <w:tc>
          <w:tcPr>
            <w:tcW w:type="dxa" w:w="10224"/>
            <w:shd w:fill="F6F8FA"/>
            <w:tcMar>
              <w:top w:w="140" w:type="dxa"/>
              <w:start w:w="140" w:type="dxa"/>
              <w:bottom w:w="140" w:type="dxa"/>
              <w:end w:w="140" w:type="dxa"/>
            </w:tcMar>
          </w:tcPr>
          <w:p>
            <w:pPr>
              <w:spacing w:after="0"/>
            </w:pPr>
            <w:r>
              <w:rPr>
                <w:rFonts w:ascii="Courier New" w:hAnsi="Courier New" w:eastAsia="Courier New"/>
                <w:sz w:val="17"/>
              </w:rPr>
              <w:t>Business Intake</w:t>
              <w:br/>
              <w:t xml:space="preserve">   ↓</w:t>
              <w:br/>
              <w:t>Keyword + Location Mapping</w:t>
              <w:br/>
              <w:t xml:space="preserve">   ↓</w:t>
              <w:br/>
              <w:t>Recommended Site Architecture</w:t>
              <w:br/>
              <w:t xml:space="preserve">   ↓</w:t>
              <w:br/>
              <w:t>Website Model</w:t>
              <w:br/>
              <w:t xml:space="preserve">   ↓</w:t>
              <w:br/>
              <w:t>Internal Link Map</w:t>
              <w:br/>
              <w:t xml:space="preserve">   ↓</w:t>
              <w:br/>
              <w:t>Validation Service</w:t>
              <w:br/>
              <w:t xml:space="preserve">   ↓</w:t>
              <w:br/>
              <w:t>Approved Release</w:t>
              <w:br/>
              <w:t xml:space="preserve">   ↓</w:t>
              <w:br/>
              <w:t>WordPress / Static HTML Rendering</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shd w:fill="164E95"/>
            <w:tcMar>
              <w:top w:w="100" w:type="dxa"/>
              <w:start w:w="100" w:type="dxa"/>
              <w:bottom w:w="100" w:type="dxa"/>
              <w:end w:w="100" w:type="dxa"/>
            </w:tcMar>
            <w:vAlign w:val="center"/>
          </w:tcPr>
          <w:p>
            <w:pPr>
              <w:jc w:val="left"/>
            </w:pPr>
            <w:r/>
            <w:r>
              <w:rPr>
                <w:b/>
                <w:color w:val="FFFFFF"/>
                <w:sz w:val="18"/>
              </w:rPr>
              <w:t>Layer</w:t>
            </w:r>
          </w:p>
        </w:tc>
        <w:tc>
          <w:tcPr>
            <w:tcW w:type="dxa" w:w="8352"/>
            <w:shd w:fill="164E95"/>
            <w:tcMar>
              <w:top w:w="100" w:type="dxa"/>
              <w:start w:w="100" w:type="dxa"/>
              <w:bottom w:w="100" w:type="dxa"/>
              <w:end w:w="100" w:type="dxa"/>
            </w:tcMar>
            <w:vAlign w:val="center"/>
          </w:tcPr>
          <w:p>
            <w:pPr>
              <w:jc w:val="left"/>
            </w:pPr>
            <w:r/>
            <w:r>
              <w:rPr>
                <w:b/>
                <w:color w:val="FFFFFF"/>
                <w:sz w:val="18"/>
              </w:rPr>
              <w:t>Responsibility</w:t>
            </w:r>
          </w:p>
        </w:tc>
      </w:tr>
      <w:tr>
        <w:trPr>
          <w:cantSplit/>
        </w:trPr>
        <w:tc>
          <w:tcPr>
            <w:tcW w:type="dxa" w:w="2736"/>
            <w:tcMar>
              <w:top w:w="90" w:type="dxa"/>
              <w:start w:w="100" w:type="dxa"/>
              <w:bottom w:w="90" w:type="dxa"/>
              <w:end w:w="100" w:type="dxa"/>
            </w:tcMar>
            <w:vAlign w:val="top"/>
            <w:shd w:fill="F8FBFF"/>
          </w:tcPr>
          <w:p>
            <w:pPr>
              <w:jc w:val="left"/>
            </w:pPr>
            <w:r/>
            <w:r>
              <w:rPr>
                <w:b w:val="0"/>
                <w:sz w:val="18"/>
              </w:rPr>
              <w:t>Component Registry</w:t>
            </w:r>
          </w:p>
        </w:tc>
        <w:tc>
          <w:tcPr>
            <w:tcW w:type="dxa" w:w="8352"/>
            <w:tcMar>
              <w:top w:w="90" w:type="dxa"/>
              <w:start w:w="100" w:type="dxa"/>
              <w:bottom w:w="90" w:type="dxa"/>
              <w:end w:w="100" w:type="dxa"/>
            </w:tcMar>
            <w:vAlign w:val="top"/>
            <w:shd w:fill="F8FBFF"/>
          </w:tcPr>
          <w:p>
            <w:pPr>
              <w:jc w:val="left"/>
            </w:pPr>
            <w:r/>
            <w:r>
              <w:rPr>
                <w:b w:val="0"/>
                <w:sz w:val="18"/>
              </w:rPr>
              <w:t>Defines which components can contain links, link lists, breadcrumbs, CTAs, cards, related pages, and contextual text links.</w:t>
            </w:r>
          </w:p>
        </w:tc>
      </w:tr>
      <w:tr>
        <w:trPr>
          <w:cantSplit/>
        </w:trPr>
        <w:tc>
          <w:tcPr>
            <w:tcW w:type="dxa" w:w="2736"/>
            <w:tcMar>
              <w:top w:w="90" w:type="dxa"/>
              <w:start w:w="100" w:type="dxa"/>
              <w:bottom w:w="90" w:type="dxa"/>
              <w:end w:w="100" w:type="dxa"/>
            </w:tcMar>
            <w:vAlign w:val="top"/>
          </w:tcPr>
          <w:p>
            <w:pPr>
              <w:jc w:val="left"/>
            </w:pPr>
            <w:r/>
            <w:r>
              <w:rPr>
                <w:b w:val="0"/>
                <w:sz w:val="18"/>
              </w:rPr>
              <w:t>Website Model</w:t>
            </w:r>
          </w:p>
        </w:tc>
        <w:tc>
          <w:tcPr>
            <w:tcW w:type="dxa" w:w="8352"/>
            <w:tcMar>
              <w:top w:w="90" w:type="dxa"/>
              <w:start w:w="100" w:type="dxa"/>
              <w:bottom w:w="90" w:type="dxa"/>
              <w:end w:w="100" w:type="dxa"/>
            </w:tcMar>
            <w:vAlign w:val="top"/>
          </w:tcPr>
          <w:p>
            <w:pPr>
              <w:jc w:val="left"/>
            </w:pPr>
            <w:r/>
            <w:r>
              <w:rPr>
                <w:b w:val="0"/>
                <w:sz w:val="18"/>
              </w:rPr>
              <w:t>Stores the internal links that were generated for a specific website version.</w:t>
            </w:r>
          </w:p>
        </w:tc>
      </w:tr>
      <w:tr>
        <w:trPr>
          <w:cantSplit/>
        </w:trPr>
        <w:tc>
          <w:tcPr>
            <w:tcW w:type="dxa" w:w="2736"/>
            <w:tcMar>
              <w:top w:w="90" w:type="dxa"/>
              <w:start w:w="100" w:type="dxa"/>
              <w:bottom w:w="90" w:type="dxa"/>
              <w:end w:w="100" w:type="dxa"/>
            </w:tcMar>
            <w:vAlign w:val="top"/>
            <w:shd w:fill="F8FBFF"/>
          </w:tcPr>
          <w:p>
            <w:pPr>
              <w:jc w:val="left"/>
            </w:pPr>
            <w:r/>
            <w:r>
              <w:rPr>
                <w:b w:val="0"/>
                <w:sz w:val="18"/>
              </w:rPr>
              <w:t>Validation Service</w:t>
            </w:r>
          </w:p>
        </w:tc>
        <w:tc>
          <w:tcPr>
            <w:tcW w:type="dxa" w:w="8352"/>
            <w:tcMar>
              <w:top w:w="90" w:type="dxa"/>
              <w:start w:w="100" w:type="dxa"/>
              <w:bottom w:w="90" w:type="dxa"/>
              <w:end w:w="100" w:type="dxa"/>
            </w:tcMar>
            <w:vAlign w:val="top"/>
            <w:shd w:fill="F8FBFF"/>
          </w:tcPr>
          <w:p>
            <w:pPr>
              <w:jc w:val="left"/>
            </w:pPr>
            <w:r/>
            <w:r>
              <w:rPr>
                <w:b w:val="0"/>
                <w:sz w:val="18"/>
              </w:rPr>
              <w:t>Checks for broken links, orphan pages, self-links, duplicate anchors, cannibalization risks, and missing cluster links.</w:t>
            </w:r>
          </w:p>
        </w:tc>
      </w:tr>
      <w:tr>
        <w:trPr>
          <w:cantSplit/>
        </w:trPr>
        <w:tc>
          <w:tcPr>
            <w:tcW w:type="dxa" w:w="2736"/>
            <w:tcMar>
              <w:top w:w="90" w:type="dxa"/>
              <w:start w:w="100" w:type="dxa"/>
              <w:bottom w:w="90" w:type="dxa"/>
              <w:end w:w="100" w:type="dxa"/>
            </w:tcMar>
            <w:vAlign w:val="top"/>
          </w:tcPr>
          <w:p>
            <w:pPr>
              <w:jc w:val="left"/>
            </w:pPr>
            <w:r/>
            <w:r>
              <w:rPr>
                <w:b w:val="0"/>
                <w:sz w:val="18"/>
              </w:rPr>
              <w:t>Approved Release</w:t>
            </w:r>
          </w:p>
        </w:tc>
        <w:tc>
          <w:tcPr>
            <w:tcW w:type="dxa" w:w="8352"/>
            <w:tcMar>
              <w:top w:w="90" w:type="dxa"/>
              <w:start w:w="100" w:type="dxa"/>
              <w:bottom w:w="90" w:type="dxa"/>
              <w:end w:w="100" w:type="dxa"/>
            </w:tcMar>
            <w:vAlign w:val="top"/>
          </w:tcPr>
          <w:p>
            <w:pPr>
              <w:jc w:val="left"/>
            </w:pPr>
            <w:r/>
            <w:r>
              <w:rPr>
                <w:b w:val="0"/>
                <w:sz w:val="18"/>
              </w:rPr>
              <w:t>Locks the approved internal link map so renderers publish only validated links.</w:t>
            </w:r>
          </w:p>
        </w:tc>
      </w:tr>
      <w:tr>
        <w:trPr>
          <w:cantSplit/>
        </w:trPr>
        <w:tc>
          <w:tcPr>
            <w:tcW w:type="dxa" w:w="2736"/>
            <w:tcMar>
              <w:top w:w="90" w:type="dxa"/>
              <w:start w:w="100" w:type="dxa"/>
              <w:bottom w:w="90" w:type="dxa"/>
              <w:end w:w="100" w:type="dxa"/>
            </w:tcMar>
            <w:vAlign w:val="top"/>
            <w:shd w:fill="F8FBFF"/>
          </w:tcPr>
          <w:p>
            <w:pPr>
              <w:jc w:val="left"/>
            </w:pPr>
            <w:r/>
            <w:r>
              <w:rPr>
                <w:b w:val="0"/>
                <w:sz w:val="18"/>
              </w:rPr>
              <w:t>WordPress / HTML Renderer</w:t>
            </w:r>
          </w:p>
        </w:tc>
        <w:tc>
          <w:tcPr>
            <w:tcW w:type="dxa" w:w="8352"/>
            <w:tcMar>
              <w:top w:w="90" w:type="dxa"/>
              <w:start w:w="100" w:type="dxa"/>
              <w:bottom w:w="90" w:type="dxa"/>
              <w:end w:w="100" w:type="dxa"/>
            </w:tcMar>
            <w:vAlign w:val="top"/>
            <w:shd w:fill="F8FBFF"/>
          </w:tcPr>
          <w:p>
            <w:pPr>
              <w:jc w:val="left"/>
            </w:pPr>
            <w:r/>
            <w:r>
              <w:rPr>
                <w:b w:val="0"/>
                <w:sz w:val="18"/>
              </w:rPr>
              <w:t>Converts internal link records into actual URLs, Gutenberg/SENuke blocks, anchors, menus, breadcrumbs, and static HTML links.</w:t>
            </w:r>
          </w:p>
        </w:tc>
      </w:tr>
    </w:tbl>
    <w:p/>
    <w:p>
      <w:pPr>
        <w:pStyle w:val="Heading1"/>
        <w:pBdr>
          <w:bottom w:val="single" w:sz="8" w:space="1" w:color="D9E2F3"/>
        </w:pBdr>
      </w:pPr>
      <w:r>
        <w:t>3. Keyword-to-Page Mapping</w:t>
      </w:r>
    </w:p>
    <w:p>
      <w:r>
        <w:t>Internal linking starts with assigning one dominant intent to each page. SENuke AI should avoid creating multiple pages that compete for the same exact keyword intent.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164E95"/>
            <w:tcMar>
              <w:top w:w="100" w:type="dxa"/>
              <w:start w:w="100" w:type="dxa"/>
              <w:bottom w:w="100" w:type="dxa"/>
              <w:end w:w="100" w:type="dxa"/>
            </w:tcMar>
            <w:vAlign w:val="center"/>
          </w:tcPr>
          <w:p>
            <w:pPr>
              <w:jc w:val="left"/>
            </w:pPr>
            <w:r/>
            <w:r>
              <w:rPr>
                <w:b/>
                <w:color w:val="FFFFFF"/>
                <w:sz w:val="18"/>
              </w:rPr>
              <w:t>Page Type</w:t>
            </w:r>
          </w:p>
        </w:tc>
        <w:tc>
          <w:tcPr>
            <w:tcW w:type="dxa" w:w="2736"/>
            <w:shd w:fill="164E95"/>
            <w:tcMar>
              <w:top w:w="100" w:type="dxa"/>
              <w:start w:w="100" w:type="dxa"/>
              <w:bottom w:w="100" w:type="dxa"/>
              <w:end w:w="100" w:type="dxa"/>
            </w:tcMar>
            <w:vAlign w:val="center"/>
          </w:tcPr>
          <w:p>
            <w:pPr>
              <w:jc w:val="left"/>
            </w:pPr>
            <w:r/>
            <w:r>
              <w:rPr>
                <w:b/>
                <w:color w:val="FFFFFF"/>
                <w:sz w:val="18"/>
              </w:rPr>
              <w:t>Example URL</w:t>
            </w:r>
          </w:p>
        </w:tc>
        <w:tc>
          <w:tcPr>
            <w:tcW w:type="dxa" w:w="2448"/>
            <w:shd w:fill="164E95"/>
            <w:tcMar>
              <w:top w:w="100" w:type="dxa"/>
              <w:start w:w="100" w:type="dxa"/>
              <w:bottom w:w="100" w:type="dxa"/>
              <w:end w:w="100" w:type="dxa"/>
            </w:tcMar>
            <w:vAlign w:val="center"/>
          </w:tcPr>
          <w:p>
            <w:pPr>
              <w:jc w:val="left"/>
            </w:pPr>
            <w:r/>
            <w:r>
              <w:rPr>
                <w:b/>
                <w:color w:val="FFFFFF"/>
                <w:sz w:val="18"/>
              </w:rPr>
              <w:t>Primary Keyword Intent</w:t>
            </w:r>
          </w:p>
        </w:tc>
        <w:tc>
          <w:tcPr>
            <w:tcW w:type="dxa" w:w="3744"/>
            <w:shd w:fill="164E95"/>
            <w:tcMar>
              <w:top w:w="100" w:type="dxa"/>
              <w:start w:w="100" w:type="dxa"/>
              <w:bottom w:w="100" w:type="dxa"/>
              <w:end w:w="100" w:type="dxa"/>
            </w:tcMar>
            <w:vAlign w:val="center"/>
          </w:tcPr>
          <w:p>
            <w:pPr>
              <w:jc w:val="left"/>
            </w:pPr>
            <w:r/>
            <w:r>
              <w:rPr>
                <w:b/>
                <w:color w:val="FFFFFF"/>
                <w:sz w:val="18"/>
              </w:rPr>
              <w:t>Internal Linking Role</w:t>
            </w:r>
          </w:p>
        </w:tc>
      </w:tr>
      <w:tr>
        <w:trPr>
          <w:cantSplit/>
        </w:trPr>
        <w:tc>
          <w:tcPr>
            <w:tcW w:type="dxa" w:w="2160"/>
            <w:tcMar>
              <w:top w:w="90" w:type="dxa"/>
              <w:start w:w="100" w:type="dxa"/>
              <w:bottom w:w="90" w:type="dxa"/>
              <w:end w:w="100" w:type="dxa"/>
            </w:tcMar>
            <w:vAlign w:val="top"/>
            <w:shd w:fill="F8FBFF"/>
          </w:tcPr>
          <w:p>
            <w:pPr>
              <w:jc w:val="left"/>
            </w:pPr>
            <w:r/>
            <w:r>
              <w:rPr>
                <w:b w:val="0"/>
                <w:sz w:val="18"/>
              </w:rPr>
              <w:t>Main service page</w:t>
            </w:r>
          </w:p>
        </w:tc>
        <w:tc>
          <w:tcPr>
            <w:tcW w:type="dxa" w:w="2736"/>
            <w:tcMar>
              <w:top w:w="90" w:type="dxa"/>
              <w:start w:w="100" w:type="dxa"/>
              <w:bottom w:w="90" w:type="dxa"/>
              <w:end w:w="100" w:type="dxa"/>
            </w:tcMar>
            <w:vAlign w:val="top"/>
            <w:shd w:fill="F8FBFF"/>
          </w:tcPr>
          <w:p>
            <w:pPr>
              <w:jc w:val="left"/>
            </w:pPr>
            <w:r/>
            <w:r>
              <w:rPr>
                <w:b w:val="0"/>
                <w:sz w:val="18"/>
              </w:rPr>
              <w:t>/super-visa-insurance/</w:t>
            </w:r>
          </w:p>
        </w:tc>
        <w:tc>
          <w:tcPr>
            <w:tcW w:type="dxa" w:w="2448"/>
            <w:tcMar>
              <w:top w:w="90" w:type="dxa"/>
              <w:start w:w="100" w:type="dxa"/>
              <w:bottom w:w="90" w:type="dxa"/>
              <w:end w:w="100" w:type="dxa"/>
            </w:tcMar>
            <w:vAlign w:val="top"/>
            <w:shd w:fill="F8FBFF"/>
          </w:tcPr>
          <w:p>
            <w:pPr>
              <w:jc w:val="left"/>
            </w:pPr>
            <w:r/>
            <w:r>
              <w:rPr>
                <w:b w:val="0"/>
                <w:sz w:val="18"/>
              </w:rPr>
              <w:t>super visa insurance</w:t>
            </w:r>
          </w:p>
        </w:tc>
        <w:tc>
          <w:tcPr>
            <w:tcW w:type="dxa" w:w="3744"/>
            <w:tcMar>
              <w:top w:w="90" w:type="dxa"/>
              <w:start w:w="100" w:type="dxa"/>
              <w:bottom w:w="90" w:type="dxa"/>
              <w:end w:w="100" w:type="dxa"/>
            </w:tcMar>
            <w:vAlign w:val="top"/>
            <w:shd w:fill="F8FBFF"/>
          </w:tcPr>
          <w:p>
            <w:pPr>
              <w:jc w:val="left"/>
            </w:pPr>
            <w:r/>
            <w:r>
              <w:rPr>
                <w:b w:val="0"/>
                <w:sz w:val="18"/>
              </w:rPr>
              <w:t>Broad service page that introduces the main offer and links to province/city pages.</w:t>
            </w:r>
          </w:p>
        </w:tc>
      </w:tr>
      <w:tr>
        <w:trPr>
          <w:cantSplit/>
        </w:trPr>
        <w:tc>
          <w:tcPr>
            <w:tcW w:type="dxa" w:w="2160"/>
            <w:tcMar>
              <w:top w:w="90" w:type="dxa"/>
              <w:start w:w="100" w:type="dxa"/>
              <w:bottom w:w="90" w:type="dxa"/>
              <w:end w:w="100" w:type="dxa"/>
            </w:tcMar>
            <w:vAlign w:val="top"/>
          </w:tcPr>
          <w:p>
            <w:pPr>
              <w:jc w:val="left"/>
            </w:pPr>
            <w:r/>
            <w:r>
              <w:rPr>
                <w:b w:val="0"/>
                <w:sz w:val="18"/>
              </w:rPr>
              <w:t>Province cluster page</w:t>
            </w:r>
          </w:p>
        </w:tc>
        <w:tc>
          <w:tcPr>
            <w:tcW w:type="dxa" w:w="2736"/>
            <w:tcMar>
              <w:top w:w="90" w:type="dxa"/>
              <w:start w:w="100" w:type="dxa"/>
              <w:bottom w:w="90" w:type="dxa"/>
              <w:end w:w="100" w:type="dxa"/>
            </w:tcMar>
            <w:vAlign w:val="top"/>
          </w:tcPr>
          <w:p>
            <w:pPr>
              <w:jc w:val="left"/>
            </w:pPr>
            <w:r/>
            <w:r>
              <w:rPr>
                <w:b w:val="0"/>
                <w:sz w:val="18"/>
              </w:rPr>
              <w:t>/super-visa-insurance-ontario/</w:t>
            </w:r>
          </w:p>
        </w:tc>
        <w:tc>
          <w:tcPr>
            <w:tcW w:type="dxa" w:w="2448"/>
            <w:tcMar>
              <w:top w:w="90" w:type="dxa"/>
              <w:start w:w="100" w:type="dxa"/>
              <w:bottom w:w="90" w:type="dxa"/>
              <w:end w:w="100" w:type="dxa"/>
            </w:tcMar>
            <w:vAlign w:val="top"/>
          </w:tcPr>
          <w:p>
            <w:pPr>
              <w:jc w:val="left"/>
            </w:pPr>
            <w:r/>
            <w:r>
              <w:rPr>
                <w:b w:val="0"/>
                <w:sz w:val="18"/>
              </w:rPr>
              <w:t>super visa insurance Ontario</w:t>
            </w:r>
          </w:p>
        </w:tc>
        <w:tc>
          <w:tcPr>
            <w:tcW w:type="dxa" w:w="3744"/>
            <w:tcMar>
              <w:top w:w="90" w:type="dxa"/>
              <w:start w:w="100" w:type="dxa"/>
              <w:bottom w:w="90" w:type="dxa"/>
              <w:end w:w="100" w:type="dxa"/>
            </w:tcMar>
            <w:vAlign w:val="top"/>
          </w:tcPr>
          <w:p>
            <w:pPr>
              <w:jc w:val="left"/>
            </w:pPr>
            <w:r/>
            <w:r>
              <w:rPr>
                <w:b w:val="0"/>
                <w:sz w:val="18"/>
              </w:rPr>
              <w:t>Hub page for all Ontario-focused city pages and regional service information.</w:t>
            </w:r>
          </w:p>
        </w:tc>
      </w:tr>
      <w:tr>
        <w:trPr>
          <w:cantSplit/>
        </w:trPr>
        <w:tc>
          <w:tcPr>
            <w:tcW w:type="dxa" w:w="2160"/>
            <w:tcMar>
              <w:top w:w="90" w:type="dxa"/>
              <w:start w:w="100" w:type="dxa"/>
              <w:bottom w:w="90" w:type="dxa"/>
              <w:end w:w="100" w:type="dxa"/>
            </w:tcMar>
            <w:vAlign w:val="top"/>
            <w:shd w:fill="F8FBFF"/>
          </w:tcPr>
          <w:p>
            <w:pPr>
              <w:jc w:val="left"/>
            </w:pPr>
            <w:r/>
            <w:r>
              <w:rPr>
                <w:b w:val="0"/>
                <w:sz w:val="18"/>
              </w:rPr>
              <w:t>Targeted city page</w:t>
            </w:r>
          </w:p>
        </w:tc>
        <w:tc>
          <w:tcPr>
            <w:tcW w:type="dxa" w:w="2736"/>
            <w:tcMar>
              <w:top w:w="90" w:type="dxa"/>
              <w:start w:w="100" w:type="dxa"/>
              <w:bottom w:w="90" w:type="dxa"/>
              <w:end w:w="100" w:type="dxa"/>
            </w:tcMar>
            <w:vAlign w:val="top"/>
            <w:shd w:fill="F8FBFF"/>
          </w:tcPr>
          <w:p>
            <w:pPr>
              <w:jc w:val="left"/>
            </w:pPr>
            <w:r/>
            <w:r>
              <w:rPr>
                <w:b w:val="0"/>
                <w:sz w:val="18"/>
              </w:rPr>
              <w:t>/super-visa-insurance-brampton/</w:t>
            </w:r>
          </w:p>
        </w:tc>
        <w:tc>
          <w:tcPr>
            <w:tcW w:type="dxa" w:w="2448"/>
            <w:tcMar>
              <w:top w:w="90" w:type="dxa"/>
              <w:start w:w="100" w:type="dxa"/>
              <w:bottom w:w="90" w:type="dxa"/>
              <w:end w:w="100" w:type="dxa"/>
            </w:tcMar>
            <w:vAlign w:val="top"/>
            <w:shd w:fill="F8FBFF"/>
          </w:tcPr>
          <w:p>
            <w:pPr>
              <w:jc w:val="left"/>
            </w:pPr>
            <w:r/>
            <w:r>
              <w:rPr>
                <w:b w:val="0"/>
                <w:sz w:val="18"/>
              </w:rPr>
              <w:t>super visa insurance Brampton</w:t>
            </w:r>
          </w:p>
        </w:tc>
        <w:tc>
          <w:tcPr>
            <w:tcW w:type="dxa" w:w="3744"/>
            <w:tcMar>
              <w:top w:w="90" w:type="dxa"/>
              <w:start w:w="100" w:type="dxa"/>
              <w:bottom w:w="90" w:type="dxa"/>
              <w:end w:w="100" w:type="dxa"/>
            </w:tcMar>
            <w:vAlign w:val="top"/>
            <w:shd w:fill="F8FBFF"/>
          </w:tcPr>
          <w:p>
            <w:pPr>
              <w:jc w:val="left"/>
            </w:pPr>
            <w:r/>
            <w:r>
              <w:rPr>
                <w:b w:val="0"/>
                <w:sz w:val="18"/>
              </w:rPr>
              <w:t>Local landing page for Brampton search intent and quote conversion.</w:t>
            </w:r>
          </w:p>
        </w:tc>
      </w:tr>
      <w:tr>
        <w:trPr>
          <w:cantSplit/>
        </w:trPr>
        <w:tc>
          <w:tcPr>
            <w:tcW w:type="dxa" w:w="2160"/>
            <w:tcMar>
              <w:top w:w="90" w:type="dxa"/>
              <w:start w:w="100" w:type="dxa"/>
              <w:bottom w:w="90" w:type="dxa"/>
              <w:end w:w="100" w:type="dxa"/>
            </w:tcMar>
            <w:vAlign w:val="top"/>
          </w:tcPr>
          <w:p>
            <w:pPr>
              <w:jc w:val="left"/>
            </w:pPr>
            <w:r/>
            <w:r>
              <w:rPr>
                <w:b w:val="0"/>
                <w:sz w:val="18"/>
              </w:rPr>
              <w:t>Targeted city page</w:t>
            </w:r>
          </w:p>
        </w:tc>
        <w:tc>
          <w:tcPr>
            <w:tcW w:type="dxa" w:w="2736"/>
            <w:tcMar>
              <w:top w:w="90" w:type="dxa"/>
              <w:start w:w="100" w:type="dxa"/>
              <w:bottom w:w="90" w:type="dxa"/>
              <w:end w:w="100" w:type="dxa"/>
            </w:tcMar>
            <w:vAlign w:val="top"/>
          </w:tcPr>
          <w:p>
            <w:pPr>
              <w:jc w:val="left"/>
            </w:pPr>
            <w:r/>
            <w:r>
              <w:rPr>
                <w:b w:val="0"/>
                <w:sz w:val="18"/>
              </w:rPr>
              <w:t>/super-visa-insurance-toronto/</w:t>
            </w:r>
          </w:p>
        </w:tc>
        <w:tc>
          <w:tcPr>
            <w:tcW w:type="dxa" w:w="2448"/>
            <w:tcMar>
              <w:top w:w="90" w:type="dxa"/>
              <w:start w:w="100" w:type="dxa"/>
              <w:bottom w:w="90" w:type="dxa"/>
              <w:end w:w="100" w:type="dxa"/>
            </w:tcMar>
            <w:vAlign w:val="top"/>
          </w:tcPr>
          <w:p>
            <w:pPr>
              <w:jc w:val="left"/>
            </w:pPr>
            <w:r/>
            <w:r>
              <w:rPr>
                <w:b w:val="0"/>
                <w:sz w:val="18"/>
              </w:rPr>
              <w:t>super visa insurance Toronto</w:t>
            </w:r>
          </w:p>
        </w:tc>
        <w:tc>
          <w:tcPr>
            <w:tcW w:type="dxa" w:w="3744"/>
            <w:tcMar>
              <w:top w:w="90" w:type="dxa"/>
              <w:start w:w="100" w:type="dxa"/>
              <w:bottom w:w="90" w:type="dxa"/>
              <w:end w:w="100" w:type="dxa"/>
            </w:tcMar>
            <w:vAlign w:val="top"/>
          </w:tcPr>
          <w:p>
            <w:pPr>
              <w:jc w:val="left"/>
            </w:pPr>
            <w:r/>
            <w:r>
              <w:rPr>
                <w:b w:val="0"/>
                <w:sz w:val="18"/>
              </w:rPr>
              <w:t>Local landing page for Toronto search intent and quote conversion.</w:t>
            </w:r>
          </w:p>
        </w:tc>
      </w:tr>
      <w:tr>
        <w:trPr>
          <w:cantSplit/>
        </w:trPr>
        <w:tc>
          <w:tcPr>
            <w:tcW w:type="dxa" w:w="2160"/>
            <w:tcMar>
              <w:top w:w="90" w:type="dxa"/>
              <w:start w:w="100" w:type="dxa"/>
              <w:bottom w:w="90" w:type="dxa"/>
              <w:end w:w="100" w:type="dxa"/>
            </w:tcMar>
            <w:vAlign w:val="top"/>
            <w:shd w:fill="F8FBFF"/>
          </w:tcPr>
          <w:p>
            <w:pPr>
              <w:jc w:val="left"/>
            </w:pPr>
            <w:r/>
            <w:r>
              <w:rPr>
                <w:b w:val="0"/>
                <w:sz w:val="18"/>
              </w:rPr>
              <w:t>Targeted city page</w:t>
            </w:r>
          </w:p>
        </w:tc>
        <w:tc>
          <w:tcPr>
            <w:tcW w:type="dxa" w:w="2736"/>
            <w:tcMar>
              <w:top w:w="90" w:type="dxa"/>
              <w:start w:w="100" w:type="dxa"/>
              <w:bottom w:w="90" w:type="dxa"/>
              <w:end w:w="100" w:type="dxa"/>
            </w:tcMar>
            <w:vAlign w:val="top"/>
            <w:shd w:fill="F8FBFF"/>
          </w:tcPr>
          <w:p>
            <w:pPr>
              <w:jc w:val="left"/>
            </w:pPr>
            <w:r/>
            <w:r>
              <w:rPr>
                <w:b w:val="0"/>
                <w:sz w:val="18"/>
              </w:rPr>
              <w:t>/super-visa-insurance-mississauga/</w:t>
            </w:r>
          </w:p>
        </w:tc>
        <w:tc>
          <w:tcPr>
            <w:tcW w:type="dxa" w:w="2448"/>
            <w:tcMar>
              <w:top w:w="90" w:type="dxa"/>
              <w:start w:w="100" w:type="dxa"/>
              <w:bottom w:w="90" w:type="dxa"/>
              <w:end w:w="100" w:type="dxa"/>
            </w:tcMar>
            <w:vAlign w:val="top"/>
            <w:shd w:fill="F8FBFF"/>
          </w:tcPr>
          <w:p>
            <w:pPr>
              <w:jc w:val="left"/>
            </w:pPr>
            <w:r/>
            <w:r>
              <w:rPr>
                <w:b w:val="0"/>
                <w:sz w:val="18"/>
              </w:rPr>
              <w:t>super visa insurance Mississauga</w:t>
            </w:r>
          </w:p>
        </w:tc>
        <w:tc>
          <w:tcPr>
            <w:tcW w:type="dxa" w:w="3744"/>
            <w:tcMar>
              <w:top w:w="90" w:type="dxa"/>
              <w:start w:w="100" w:type="dxa"/>
              <w:bottom w:w="90" w:type="dxa"/>
              <w:end w:w="100" w:type="dxa"/>
            </w:tcMar>
            <w:vAlign w:val="top"/>
            <w:shd w:fill="F8FBFF"/>
          </w:tcPr>
          <w:p>
            <w:pPr>
              <w:jc w:val="left"/>
            </w:pPr>
            <w:r/>
            <w:r>
              <w:rPr>
                <w:b w:val="0"/>
                <w:sz w:val="18"/>
              </w:rPr>
              <w:t>Local landing page for Mississauga search intent and quote conversion.</w:t>
            </w:r>
          </w:p>
        </w:tc>
      </w:tr>
      <w:tr>
        <w:trPr>
          <w:cantSplit/>
        </w:trPr>
        <w:tc>
          <w:tcPr>
            <w:tcW w:type="dxa" w:w="2160"/>
            <w:tcMar>
              <w:top w:w="90" w:type="dxa"/>
              <w:start w:w="100" w:type="dxa"/>
              <w:bottom w:w="90" w:type="dxa"/>
              <w:end w:w="100" w:type="dxa"/>
            </w:tcMar>
            <w:vAlign w:val="top"/>
          </w:tcPr>
          <w:p>
            <w:pPr>
              <w:jc w:val="left"/>
            </w:pPr>
            <w:r/>
            <w:r>
              <w:rPr>
                <w:b w:val="0"/>
                <w:sz w:val="18"/>
              </w:rPr>
              <w:t>Support page / blog</w:t>
            </w:r>
          </w:p>
        </w:tc>
        <w:tc>
          <w:tcPr>
            <w:tcW w:type="dxa" w:w="2736"/>
            <w:tcMar>
              <w:top w:w="90" w:type="dxa"/>
              <w:start w:w="100" w:type="dxa"/>
              <w:bottom w:w="90" w:type="dxa"/>
              <w:end w:w="100" w:type="dxa"/>
            </w:tcMar>
            <w:vAlign w:val="top"/>
          </w:tcPr>
          <w:p>
            <w:pPr>
              <w:jc w:val="left"/>
            </w:pPr>
            <w:r/>
            <w:r>
              <w:rPr>
                <w:b w:val="0"/>
                <w:sz w:val="18"/>
              </w:rPr>
              <w:t>/super-visa-insurance-requirements-canada/</w:t>
            </w:r>
          </w:p>
        </w:tc>
        <w:tc>
          <w:tcPr>
            <w:tcW w:type="dxa" w:w="2448"/>
            <w:tcMar>
              <w:top w:w="90" w:type="dxa"/>
              <w:start w:w="100" w:type="dxa"/>
              <w:bottom w:w="90" w:type="dxa"/>
              <w:end w:w="100" w:type="dxa"/>
            </w:tcMar>
            <w:vAlign w:val="top"/>
          </w:tcPr>
          <w:p>
            <w:pPr>
              <w:jc w:val="left"/>
            </w:pPr>
            <w:r/>
            <w:r>
              <w:rPr>
                <w:b w:val="0"/>
                <w:sz w:val="18"/>
              </w:rPr>
              <w:t>super visa insurance requirements</w:t>
            </w:r>
          </w:p>
        </w:tc>
        <w:tc>
          <w:tcPr>
            <w:tcW w:type="dxa" w:w="3744"/>
            <w:tcMar>
              <w:top w:w="90" w:type="dxa"/>
              <w:start w:w="100" w:type="dxa"/>
              <w:bottom w:w="90" w:type="dxa"/>
              <w:end w:w="100" w:type="dxa"/>
            </w:tcMar>
            <w:vAlign w:val="top"/>
          </w:tcPr>
          <w:p>
            <w:pPr>
              <w:jc w:val="left"/>
            </w:pPr>
            <w:r/>
            <w:r>
              <w:rPr>
                <w:b w:val="0"/>
                <w:sz w:val="18"/>
              </w:rPr>
              <w:t>Educational support page that links back to service and local pages.</w:t>
            </w:r>
          </w:p>
        </w:tc>
      </w:tr>
    </w:tbl>
    <w:p/>
    <w:p>
      <w:pPr>
        <w:pStyle w:val="Heading1"/>
        <w:pBdr>
          <w:bottom w:val="single" w:sz="8" w:space="1" w:color="D9E2F3"/>
        </w:pBdr>
      </w:pPr>
      <w:r>
        <w:t>4. City Cluster Linking Model</w:t>
      </w:r>
    </w:p>
    <w:p>
      <w:r>
        <w:t>A city cluster connects one service keyword with multiple geographic pages. The broader location page works as the cluster hub, while city pages work as local spokes.</w:t>
      </w:r>
    </w:p>
    <w:tbl>
      <w:tblPr>
        <w:tblW w:type="auto" w:w="0"/>
        <w:jc w:val="center"/>
        <w:tblLook w:firstColumn="1" w:firstRow="1" w:lastColumn="0" w:lastRow="0" w:noHBand="0" w:noVBand="1" w:val="04A0"/>
      </w:tblPr>
      <w:tblGrid>
        <w:gridCol w:w="10224"/>
      </w:tblGrid>
      <w:tr>
        <w:trPr>
          <w:cantSplit/>
        </w:trPr>
        <w:tc>
          <w:tcPr>
            <w:tcW w:type="dxa" w:w="10224"/>
            <w:shd w:fill="F6F8FA"/>
            <w:tcMar>
              <w:top w:w="140" w:type="dxa"/>
              <w:start w:w="140" w:type="dxa"/>
              <w:bottom w:w="140" w:type="dxa"/>
              <w:end w:w="140" w:type="dxa"/>
            </w:tcMar>
          </w:tcPr>
          <w:p>
            <w:pPr>
              <w:spacing w:after="0"/>
            </w:pPr>
            <w:r>
              <w:rPr>
                <w:rFonts w:ascii="Courier New" w:hAnsi="Courier New" w:eastAsia="Courier New"/>
                <w:sz w:val="17"/>
              </w:rPr>
              <w:t>Main Service Page</w:t>
              <w:br/>
              <w:t>/super-visa-insurance/</w:t>
              <w:br/>
              <w:t xml:space="preserve">        ↓</w:t>
              <w:br/>
              <w:t>Province / Region Hub</w:t>
              <w:br/>
              <w:t>/super-visa-insurance-ontario/</w:t>
              <w:br/>
              <w:t xml:space="preserve">        ↓</w:t>
              <w:br/>
              <w:t>City Pages</w:t>
              <w:br/>
              <w:t>/super-visa-insurance-brampton/</w:t>
              <w:br/>
              <w:t>/super-visa-insurance-toronto/</w:t>
              <w:br/>
              <w:t>/super-visa-insurance-mississauga/</w:t>
            </w:r>
          </w:p>
        </w:tc>
      </w:tr>
    </w:tbl>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64E95"/>
            <w:tcMar>
              <w:top w:w="100" w:type="dxa"/>
              <w:start w:w="100" w:type="dxa"/>
              <w:bottom w:w="100" w:type="dxa"/>
              <w:end w:w="100" w:type="dxa"/>
            </w:tcMar>
            <w:vAlign w:val="center"/>
          </w:tcPr>
          <w:p>
            <w:pPr>
              <w:jc w:val="left"/>
            </w:pPr>
            <w:r/>
            <w:r>
              <w:rPr>
                <w:b/>
                <w:color w:val="FFFFFF"/>
                <w:sz w:val="18"/>
              </w:rPr>
              <w:t>Link Direction</w:t>
            </w:r>
          </w:p>
        </w:tc>
        <w:tc>
          <w:tcPr>
            <w:tcW w:type="dxa" w:w="4608"/>
            <w:shd w:fill="164E95"/>
            <w:tcMar>
              <w:top w:w="100" w:type="dxa"/>
              <w:start w:w="100" w:type="dxa"/>
              <w:bottom w:w="100" w:type="dxa"/>
              <w:end w:w="100" w:type="dxa"/>
            </w:tcMar>
            <w:vAlign w:val="center"/>
          </w:tcPr>
          <w:p>
            <w:pPr>
              <w:jc w:val="left"/>
            </w:pPr>
            <w:r/>
            <w:r>
              <w:rPr>
                <w:b/>
                <w:color w:val="FFFFFF"/>
                <w:sz w:val="18"/>
              </w:rPr>
              <w:t>Purpose</w:t>
            </w:r>
          </w:p>
        </w:tc>
        <w:tc>
          <w:tcPr>
            <w:tcW w:type="dxa" w:w="3600"/>
            <w:shd w:fill="164E95"/>
            <w:tcMar>
              <w:top w:w="100" w:type="dxa"/>
              <w:start w:w="100" w:type="dxa"/>
              <w:bottom w:w="100" w:type="dxa"/>
              <w:end w:w="100" w:type="dxa"/>
            </w:tcMar>
            <w:vAlign w:val="center"/>
          </w:tcPr>
          <w:p>
            <w:pPr>
              <w:jc w:val="left"/>
            </w:pPr>
            <w:r/>
            <w:r>
              <w:rPr>
                <w:b/>
                <w:color w:val="FFFFFF"/>
                <w:sz w:val="18"/>
              </w:rPr>
              <w:t>Example Anchor Text</w:t>
            </w:r>
          </w:p>
        </w:tc>
      </w:tr>
      <w:tr>
        <w:trPr>
          <w:cantSplit/>
        </w:trPr>
        <w:tc>
          <w:tcPr>
            <w:tcW w:type="dxa" w:w="2880"/>
            <w:tcMar>
              <w:top w:w="90" w:type="dxa"/>
              <w:start w:w="100" w:type="dxa"/>
              <w:bottom w:w="90" w:type="dxa"/>
              <w:end w:w="100" w:type="dxa"/>
            </w:tcMar>
            <w:vAlign w:val="top"/>
            <w:shd w:fill="F8FBFF"/>
          </w:tcPr>
          <w:p>
            <w:pPr>
              <w:jc w:val="left"/>
            </w:pPr>
            <w:r/>
            <w:r>
              <w:rPr>
                <w:b w:val="0"/>
                <w:sz w:val="18"/>
              </w:rPr>
              <w:t>Main service → Province hub</w:t>
            </w:r>
          </w:p>
        </w:tc>
        <w:tc>
          <w:tcPr>
            <w:tcW w:type="dxa" w:w="4608"/>
            <w:tcMar>
              <w:top w:w="90" w:type="dxa"/>
              <w:start w:w="100" w:type="dxa"/>
              <w:bottom w:w="90" w:type="dxa"/>
              <w:end w:w="100" w:type="dxa"/>
            </w:tcMar>
            <w:vAlign w:val="top"/>
            <w:shd w:fill="F8FBFF"/>
          </w:tcPr>
          <w:p>
            <w:pPr>
              <w:jc w:val="left"/>
            </w:pPr>
            <w:r/>
            <w:r>
              <w:rPr>
                <w:b w:val="0"/>
                <w:sz w:val="18"/>
              </w:rPr>
              <w:t>Moves the user from broad service intent to regional coverage intent.</w:t>
            </w:r>
          </w:p>
        </w:tc>
        <w:tc>
          <w:tcPr>
            <w:tcW w:type="dxa" w:w="3600"/>
            <w:tcMar>
              <w:top w:w="90" w:type="dxa"/>
              <w:start w:w="100" w:type="dxa"/>
              <w:bottom w:w="90" w:type="dxa"/>
              <w:end w:w="100" w:type="dxa"/>
            </w:tcMar>
            <w:vAlign w:val="top"/>
            <w:shd w:fill="F8FBFF"/>
          </w:tcPr>
          <w:p>
            <w:pPr>
              <w:jc w:val="left"/>
            </w:pPr>
            <w:r/>
            <w:r>
              <w:rPr>
                <w:b w:val="0"/>
                <w:sz w:val="18"/>
              </w:rPr>
              <w:t>Super Visa Insurance in Ontario</w:t>
            </w:r>
          </w:p>
        </w:tc>
      </w:tr>
      <w:tr>
        <w:trPr>
          <w:cantSplit/>
        </w:trPr>
        <w:tc>
          <w:tcPr>
            <w:tcW w:type="dxa" w:w="2880"/>
            <w:tcMar>
              <w:top w:w="90" w:type="dxa"/>
              <w:start w:w="100" w:type="dxa"/>
              <w:bottom w:w="90" w:type="dxa"/>
              <w:end w:w="100" w:type="dxa"/>
            </w:tcMar>
            <w:vAlign w:val="top"/>
          </w:tcPr>
          <w:p>
            <w:pPr>
              <w:jc w:val="left"/>
            </w:pPr>
            <w:r/>
            <w:r>
              <w:rPr>
                <w:b w:val="0"/>
                <w:sz w:val="18"/>
              </w:rPr>
              <w:t>Province hub → City pages</w:t>
            </w:r>
          </w:p>
        </w:tc>
        <w:tc>
          <w:tcPr>
            <w:tcW w:type="dxa" w:w="4608"/>
            <w:tcMar>
              <w:top w:w="90" w:type="dxa"/>
              <w:start w:w="100" w:type="dxa"/>
              <w:bottom w:w="90" w:type="dxa"/>
              <w:end w:w="100" w:type="dxa"/>
            </w:tcMar>
            <w:vAlign w:val="top"/>
          </w:tcPr>
          <w:p>
            <w:pPr>
              <w:jc w:val="left"/>
            </w:pPr>
            <w:r/>
            <w:r>
              <w:rPr>
                <w:b w:val="0"/>
                <w:sz w:val="18"/>
              </w:rPr>
              <w:t>Distributes regional authority and helps users choose their city.</w:t>
            </w:r>
          </w:p>
        </w:tc>
        <w:tc>
          <w:tcPr>
            <w:tcW w:type="dxa" w:w="3600"/>
            <w:tcMar>
              <w:top w:w="90" w:type="dxa"/>
              <w:start w:w="100" w:type="dxa"/>
              <w:bottom w:w="90" w:type="dxa"/>
              <w:end w:w="100" w:type="dxa"/>
            </w:tcMar>
            <w:vAlign w:val="top"/>
          </w:tcPr>
          <w:p>
            <w:pPr>
              <w:jc w:val="left"/>
            </w:pPr>
            <w:r/>
            <w:r>
              <w:rPr>
                <w:b w:val="0"/>
                <w:sz w:val="18"/>
              </w:rPr>
              <w:t>Super Visa Insurance in Brampton</w:t>
            </w:r>
          </w:p>
        </w:tc>
      </w:tr>
      <w:tr>
        <w:trPr>
          <w:cantSplit/>
        </w:trPr>
        <w:tc>
          <w:tcPr>
            <w:tcW w:type="dxa" w:w="2880"/>
            <w:tcMar>
              <w:top w:w="90" w:type="dxa"/>
              <w:start w:w="100" w:type="dxa"/>
              <w:bottom w:w="90" w:type="dxa"/>
              <w:end w:w="100" w:type="dxa"/>
            </w:tcMar>
            <w:vAlign w:val="top"/>
            <w:shd w:fill="F8FBFF"/>
          </w:tcPr>
          <w:p>
            <w:pPr>
              <w:jc w:val="left"/>
            </w:pPr>
            <w:r/>
            <w:r>
              <w:rPr>
                <w:b w:val="0"/>
                <w:sz w:val="18"/>
              </w:rPr>
              <w:t>City page → Province hub</w:t>
            </w:r>
          </w:p>
        </w:tc>
        <w:tc>
          <w:tcPr>
            <w:tcW w:type="dxa" w:w="4608"/>
            <w:tcMar>
              <w:top w:w="90" w:type="dxa"/>
              <w:start w:w="100" w:type="dxa"/>
              <w:bottom w:w="90" w:type="dxa"/>
              <w:end w:w="100" w:type="dxa"/>
            </w:tcMar>
            <w:vAlign w:val="top"/>
            <w:shd w:fill="F8FBFF"/>
          </w:tcPr>
          <w:p>
            <w:pPr>
              <w:jc w:val="left"/>
            </w:pPr>
            <w:r/>
            <w:r>
              <w:rPr>
                <w:b w:val="0"/>
                <w:sz w:val="18"/>
              </w:rPr>
              <w:t>Connects local page back to the broader service area.</w:t>
            </w:r>
          </w:p>
        </w:tc>
        <w:tc>
          <w:tcPr>
            <w:tcW w:type="dxa" w:w="3600"/>
            <w:tcMar>
              <w:top w:w="90" w:type="dxa"/>
              <w:start w:w="100" w:type="dxa"/>
              <w:bottom w:w="90" w:type="dxa"/>
              <w:end w:w="100" w:type="dxa"/>
            </w:tcMar>
            <w:vAlign w:val="top"/>
            <w:shd w:fill="F8FBFF"/>
          </w:tcPr>
          <w:p>
            <w:pPr>
              <w:jc w:val="left"/>
            </w:pPr>
            <w:r/>
            <w:r>
              <w:rPr>
                <w:b w:val="0"/>
                <w:sz w:val="18"/>
              </w:rPr>
              <w:t>Compare Super Visa Insurance across Ontario</w:t>
            </w:r>
          </w:p>
        </w:tc>
      </w:tr>
      <w:tr>
        <w:trPr>
          <w:cantSplit/>
        </w:trPr>
        <w:tc>
          <w:tcPr>
            <w:tcW w:type="dxa" w:w="2880"/>
            <w:tcMar>
              <w:top w:w="90" w:type="dxa"/>
              <w:start w:w="100" w:type="dxa"/>
              <w:bottom w:w="90" w:type="dxa"/>
              <w:end w:w="100" w:type="dxa"/>
            </w:tcMar>
            <w:vAlign w:val="top"/>
          </w:tcPr>
          <w:p>
            <w:pPr>
              <w:jc w:val="left"/>
            </w:pPr>
            <w:r/>
            <w:r>
              <w:rPr>
                <w:b w:val="0"/>
                <w:sz w:val="18"/>
              </w:rPr>
              <w:t>City page → Nearby city pages</w:t>
            </w:r>
          </w:p>
        </w:tc>
        <w:tc>
          <w:tcPr>
            <w:tcW w:type="dxa" w:w="4608"/>
            <w:tcMar>
              <w:top w:w="90" w:type="dxa"/>
              <w:start w:w="100" w:type="dxa"/>
              <w:bottom w:w="90" w:type="dxa"/>
              <w:end w:w="100" w:type="dxa"/>
            </w:tcMar>
            <w:vAlign w:val="top"/>
          </w:tcPr>
          <w:p>
            <w:pPr>
              <w:jc w:val="left"/>
            </w:pPr>
            <w:r/>
            <w:r>
              <w:rPr>
                <w:b w:val="0"/>
                <w:sz w:val="18"/>
              </w:rPr>
              <w:t>Supports useful geographic navigation where nearby locations matter.</w:t>
            </w:r>
          </w:p>
        </w:tc>
        <w:tc>
          <w:tcPr>
            <w:tcW w:type="dxa" w:w="3600"/>
            <w:tcMar>
              <w:top w:w="90" w:type="dxa"/>
              <w:start w:w="100" w:type="dxa"/>
              <w:bottom w:w="90" w:type="dxa"/>
              <w:end w:w="100" w:type="dxa"/>
            </w:tcMar>
            <w:vAlign w:val="top"/>
          </w:tcPr>
          <w:p>
            <w:pPr>
              <w:jc w:val="left"/>
            </w:pPr>
            <w:r/>
            <w:r>
              <w:rPr>
                <w:b w:val="0"/>
                <w:sz w:val="18"/>
              </w:rPr>
              <w:t>Coverage options near Mississauga and Toronto</w:t>
            </w:r>
          </w:p>
        </w:tc>
      </w:tr>
      <w:tr>
        <w:trPr>
          <w:cantSplit/>
        </w:trPr>
        <w:tc>
          <w:tcPr>
            <w:tcW w:type="dxa" w:w="2880"/>
            <w:tcMar>
              <w:top w:w="90" w:type="dxa"/>
              <w:start w:w="100" w:type="dxa"/>
              <w:bottom w:w="90" w:type="dxa"/>
              <w:end w:w="100" w:type="dxa"/>
            </w:tcMar>
            <w:vAlign w:val="top"/>
            <w:shd w:fill="F8FBFF"/>
          </w:tcPr>
          <w:p>
            <w:pPr>
              <w:jc w:val="left"/>
            </w:pPr>
            <w:r/>
            <w:r>
              <w:rPr>
                <w:b w:val="0"/>
                <w:sz w:val="18"/>
              </w:rPr>
              <w:t>Support article → Service/city pages</w:t>
            </w:r>
          </w:p>
        </w:tc>
        <w:tc>
          <w:tcPr>
            <w:tcW w:type="dxa" w:w="4608"/>
            <w:tcMar>
              <w:top w:w="90" w:type="dxa"/>
              <w:start w:w="100" w:type="dxa"/>
              <w:bottom w:w="90" w:type="dxa"/>
              <w:end w:w="100" w:type="dxa"/>
            </w:tcMar>
            <w:vAlign w:val="top"/>
            <w:shd w:fill="F8FBFF"/>
          </w:tcPr>
          <w:p>
            <w:pPr>
              <w:jc w:val="left"/>
            </w:pPr>
            <w:r/>
            <w:r>
              <w:rPr>
                <w:b w:val="0"/>
                <w:sz w:val="18"/>
              </w:rPr>
              <w:t>Turns informational traffic into service and quote traffic.</w:t>
            </w:r>
          </w:p>
        </w:tc>
        <w:tc>
          <w:tcPr>
            <w:tcW w:type="dxa" w:w="3600"/>
            <w:tcMar>
              <w:top w:w="90" w:type="dxa"/>
              <w:start w:w="100" w:type="dxa"/>
              <w:bottom w:w="90" w:type="dxa"/>
              <w:end w:w="100" w:type="dxa"/>
            </w:tcMar>
            <w:vAlign w:val="top"/>
            <w:shd w:fill="F8FBFF"/>
          </w:tcPr>
          <w:p>
            <w:pPr>
              <w:jc w:val="left"/>
            </w:pPr>
            <w:r/>
            <w:r>
              <w:rPr>
                <w:b w:val="0"/>
                <w:sz w:val="18"/>
              </w:rPr>
              <w:t>Get a Super Visa Insurance quote in Brampton</w:t>
            </w:r>
          </w:p>
        </w:tc>
      </w:tr>
      <w:tr>
        <w:trPr>
          <w:cantSplit/>
        </w:trPr>
        <w:tc>
          <w:tcPr>
            <w:tcW w:type="dxa" w:w="2880"/>
            <w:tcMar>
              <w:top w:w="90" w:type="dxa"/>
              <w:start w:w="100" w:type="dxa"/>
              <w:bottom w:w="90" w:type="dxa"/>
              <w:end w:w="100" w:type="dxa"/>
            </w:tcMar>
            <w:vAlign w:val="top"/>
          </w:tcPr>
          <w:p>
            <w:pPr>
              <w:jc w:val="left"/>
            </w:pPr>
            <w:r/>
            <w:r>
              <w:rPr>
                <w:b w:val="0"/>
                <w:sz w:val="18"/>
              </w:rPr>
              <w:t>All conversion pages → Contact/quote page</w:t>
            </w:r>
          </w:p>
        </w:tc>
        <w:tc>
          <w:tcPr>
            <w:tcW w:type="dxa" w:w="4608"/>
            <w:tcMar>
              <w:top w:w="90" w:type="dxa"/>
              <w:start w:w="100" w:type="dxa"/>
              <w:bottom w:w="90" w:type="dxa"/>
              <w:end w:w="100" w:type="dxa"/>
            </w:tcMar>
            <w:vAlign w:val="top"/>
          </w:tcPr>
          <w:p>
            <w:pPr>
              <w:jc w:val="left"/>
            </w:pPr>
            <w:r/>
            <w:r>
              <w:rPr>
                <w:b w:val="0"/>
                <w:sz w:val="18"/>
              </w:rPr>
              <w:t>Moves users toward the primary conversion action.</w:t>
            </w:r>
          </w:p>
        </w:tc>
        <w:tc>
          <w:tcPr>
            <w:tcW w:type="dxa" w:w="3600"/>
            <w:tcMar>
              <w:top w:w="90" w:type="dxa"/>
              <w:start w:w="100" w:type="dxa"/>
              <w:bottom w:w="90" w:type="dxa"/>
              <w:end w:w="100" w:type="dxa"/>
            </w:tcMar>
            <w:vAlign w:val="top"/>
          </w:tcPr>
          <w:p>
            <w:pPr>
              <w:jc w:val="left"/>
            </w:pPr>
            <w:r/>
            <w:r>
              <w:rPr>
                <w:b w:val="0"/>
                <w:sz w:val="18"/>
              </w:rPr>
              <w:t>Request a quote</w:t>
            </w:r>
          </w:p>
        </w:tc>
      </w:tr>
    </w:tbl>
    <w:p/>
    <w:p>
      <w:pPr>
        <w:pStyle w:val="Heading1"/>
        <w:pBdr>
          <w:bottom w:val="single" w:sz="8" w:space="1" w:color="D9E2F3"/>
        </w:pBdr>
      </w:pPr>
      <w:r>
        <w:t>5. Page-Level Internal Linking Rules</w:t>
      </w:r>
    </w:p>
    <w:p>
      <w:pPr>
        <w:pStyle w:val="ListBullet"/>
        <w:spacing w:after="40"/>
      </w:pPr>
      <w:r>
        <w:t>Every indexable page must have at least one incoming internal link from a relevant page.</w:t>
      </w:r>
    </w:p>
    <w:p>
      <w:pPr>
        <w:pStyle w:val="ListBullet"/>
        <w:spacing w:after="40"/>
      </w:pPr>
      <w:r>
        <w:t>The cluster hub should link to every important city page in the cluster.</w:t>
      </w:r>
    </w:p>
    <w:p>
      <w:pPr>
        <w:pStyle w:val="ListBullet"/>
        <w:spacing w:after="40"/>
      </w:pPr>
      <w:r>
        <w:t>Each city page should link back to the cluster hub and to the main service page where relevant.</w:t>
      </w:r>
    </w:p>
    <w:p>
      <w:pPr>
        <w:pStyle w:val="ListBullet"/>
        <w:spacing w:after="40"/>
      </w:pPr>
      <w:r>
        <w:t>City pages may link to nearby city pages only when the relationship helps the user.</w:t>
      </w:r>
    </w:p>
    <w:p>
      <w:pPr>
        <w:pStyle w:val="ListBullet"/>
        <w:spacing w:after="40"/>
      </w:pPr>
      <w:r>
        <w:t>Do not link every city page to every other city page automatically. Use relevance and proximity rules.</w:t>
      </w:r>
    </w:p>
    <w:p>
      <w:pPr>
        <w:pStyle w:val="ListBullet"/>
        <w:spacing w:after="40"/>
      </w:pPr>
      <w:r>
        <w:t>Use breadcrumbs for parent-child structures such as Home &gt; Ontario &gt; Brampton.</w:t>
      </w:r>
    </w:p>
    <w:p>
      <w:pPr>
        <w:pStyle w:val="ListBullet"/>
        <w:spacing w:after="40"/>
      </w:pPr>
      <w:r>
        <w:t>Use contextual links inside body copy, not only footer links.</w:t>
      </w:r>
    </w:p>
    <w:p>
      <w:pPr>
        <w:pStyle w:val="ListBullet"/>
        <w:spacing w:after="40"/>
      </w:pPr>
      <w:r>
        <w:t>Use CTA links to quote/contact forms where conversion intent is strong.</w:t>
      </w:r>
    </w:p>
    <w:p>
      <w:pPr>
        <w:pStyle w:val="ListBullet"/>
        <w:spacing w:after="40"/>
      </w:pPr>
      <w:r>
        <w:t>Avoid repeated exact-match anchors everywhere. Mix natural language anchors with descriptive anchors.</w:t>
      </w:r>
    </w:p>
    <w:p>
      <w:pPr>
        <w:pStyle w:val="ListBullet"/>
        <w:spacing w:after="40"/>
      </w:pPr>
      <w:r>
        <w:t>Do not generate doorway-style pages where only the city name changes. Internal links should support useful, unique local content.</w:t>
      </w:r>
    </w:p>
    <w:p>
      <w:pPr>
        <w:pStyle w:val="Heading1"/>
        <w:pBdr>
          <w:bottom w:val="single" w:sz="8" w:space="1" w:color="D9E2F3"/>
        </w:pBdr>
      </w:pPr>
      <w:r>
        <w:t>6. Anchor Text Strategy</w:t>
      </w:r>
    </w:p>
    <w:p>
      <w:r>
        <w:t>Anchor text should describe the destination page naturally. SENuke AI should avoid robotic exact-match repetition.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64E95"/>
            <w:tcMar>
              <w:top w:w="100" w:type="dxa"/>
              <w:start w:w="100" w:type="dxa"/>
              <w:bottom w:w="100" w:type="dxa"/>
              <w:end w:w="100" w:type="dxa"/>
            </w:tcMar>
            <w:vAlign w:val="center"/>
          </w:tcPr>
          <w:p>
            <w:pPr>
              <w:jc w:val="left"/>
            </w:pPr>
            <w:r/>
            <w:r>
              <w:rPr>
                <w:b/>
                <w:color w:val="FFFFFF"/>
                <w:sz w:val="18"/>
              </w:rPr>
              <w:t>Anchor Type</w:t>
            </w:r>
          </w:p>
        </w:tc>
        <w:tc>
          <w:tcPr>
            <w:tcW w:type="dxa" w:w="5184"/>
            <w:shd w:fill="164E95"/>
            <w:tcMar>
              <w:top w:w="100" w:type="dxa"/>
              <w:start w:w="100" w:type="dxa"/>
              <w:bottom w:w="100" w:type="dxa"/>
              <w:end w:w="100" w:type="dxa"/>
            </w:tcMar>
            <w:vAlign w:val="center"/>
          </w:tcPr>
          <w:p>
            <w:pPr>
              <w:jc w:val="left"/>
            </w:pPr>
            <w:r/>
            <w:r>
              <w:rPr>
                <w:b/>
                <w:color w:val="FFFFFF"/>
                <w:sz w:val="18"/>
              </w:rPr>
              <w:t>Use Case</w:t>
            </w:r>
          </w:p>
        </w:tc>
        <w:tc>
          <w:tcPr>
            <w:tcW w:type="dxa" w:w="3456"/>
            <w:shd w:fill="164E95"/>
            <w:tcMar>
              <w:top w:w="100" w:type="dxa"/>
              <w:start w:w="100" w:type="dxa"/>
              <w:bottom w:w="100" w:type="dxa"/>
              <w:end w:w="100" w:type="dxa"/>
            </w:tcMar>
            <w:vAlign w:val="center"/>
          </w:tcPr>
          <w:p>
            <w:pPr>
              <w:jc w:val="left"/>
            </w:pPr>
            <w:r/>
            <w:r>
              <w:rPr>
                <w:b/>
                <w:color w:val="FFFFFF"/>
                <w:sz w:val="18"/>
              </w:rPr>
              <w:t>Example</w:t>
            </w:r>
          </w:p>
        </w:tc>
      </w:tr>
      <w:tr>
        <w:trPr>
          <w:cantSplit/>
        </w:trPr>
        <w:tc>
          <w:tcPr>
            <w:tcW w:type="dxa" w:w="2304"/>
            <w:tcMar>
              <w:top w:w="90" w:type="dxa"/>
              <w:start w:w="100" w:type="dxa"/>
              <w:bottom w:w="90" w:type="dxa"/>
              <w:end w:w="100" w:type="dxa"/>
            </w:tcMar>
            <w:vAlign w:val="top"/>
            <w:shd w:fill="F8FBFF"/>
          </w:tcPr>
          <w:p>
            <w:pPr>
              <w:jc w:val="left"/>
            </w:pPr>
            <w:r/>
            <w:r>
              <w:rPr>
                <w:b w:val="0"/>
                <w:sz w:val="18"/>
              </w:rPr>
              <w:t>Exact descriptive</w:t>
            </w:r>
          </w:p>
        </w:tc>
        <w:tc>
          <w:tcPr>
            <w:tcW w:type="dxa" w:w="5184"/>
            <w:tcMar>
              <w:top w:w="90" w:type="dxa"/>
              <w:start w:w="100" w:type="dxa"/>
              <w:bottom w:w="90" w:type="dxa"/>
              <w:end w:w="100" w:type="dxa"/>
            </w:tcMar>
            <w:vAlign w:val="top"/>
            <w:shd w:fill="F8FBFF"/>
          </w:tcPr>
          <w:p>
            <w:pPr>
              <w:jc w:val="left"/>
            </w:pPr>
            <w:r/>
            <w:r>
              <w:rPr>
                <w:b w:val="0"/>
                <w:sz w:val="18"/>
              </w:rPr>
              <w:t>Use sparingly for important navigation and hub links.</w:t>
            </w:r>
          </w:p>
        </w:tc>
        <w:tc>
          <w:tcPr>
            <w:tcW w:type="dxa" w:w="3456"/>
            <w:tcMar>
              <w:top w:w="90" w:type="dxa"/>
              <w:start w:w="100" w:type="dxa"/>
              <w:bottom w:w="90" w:type="dxa"/>
              <w:end w:w="100" w:type="dxa"/>
            </w:tcMar>
            <w:vAlign w:val="top"/>
            <w:shd w:fill="F8FBFF"/>
          </w:tcPr>
          <w:p>
            <w:pPr>
              <w:jc w:val="left"/>
            </w:pPr>
            <w:r/>
            <w:r>
              <w:rPr>
                <w:b w:val="0"/>
                <w:sz w:val="18"/>
              </w:rPr>
              <w:t>Super Visa Insurance in Brampton</w:t>
            </w:r>
          </w:p>
        </w:tc>
      </w:tr>
      <w:tr>
        <w:trPr>
          <w:cantSplit/>
        </w:trPr>
        <w:tc>
          <w:tcPr>
            <w:tcW w:type="dxa" w:w="2304"/>
            <w:tcMar>
              <w:top w:w="90" w:type="dxa"/>
              <w:start w:w="100" w:type="dxa"/>
              <w:bottom w:w="90" w:type="dxa"/>
              <w:end w:w="100" w:type="dxa"/>
            </w:tcMar>
            <w:vAlign w:val="top"/>
          </w:tcPr>
          <w:p>
            <w:pPr>
              <w:jc w:val="left"/>
            </w:pPr>
            <w:r/>
            <w:r>
              <w:rPr>
                <w:b w:val="0"/>
                <w:sz w:val="18"/>
              </w:rPr>
              <w:t>Natural contextual</w:t>
            </w:r>
          </w:p>
        </w:tc>
        <w:tc>
          <w:tcPr>
            <w:tcW w:type="dxa" w:w="5184"/>
            <w:tcMar>
              <w:top w:w="90" w:type="dxa"/>
              <w:start w:w="100" w:type="dxa"/>
              <w:bottom w:w="90" w:type="dxa"/>
              <w:end w:w="100" w:type="dxa"/>
            </w:tcMar>
            <w:vAlign w:val="top"/>
          </w:tcPr>
          <w:p>
            <w:pPr>
              <w:jc w:val="left"/>
            </w:pPr>
            <w:r/>
            <w:r>
              <w:rPr>
                <w:b w:val="0"/>
                <w:sz w:val="18"/>
              </w:rPr>
              <w:t>Best for body copy and educational sections.</w:t>
            </w:r>
          </w:p>
        </w:tc>
        <w:tc>
          <w:tcPr>
            <w:tcW w:type="dxa" w:w="3456"/>
            <w:tcMar>
              <w:top w:w="90" w:type="dxa"/>
              <w:start w:w="100" w:type="dxa"/>
              <w:bottom w:w="90" w:type="dxa"/>
              <w:end w:w="100" w:type="dxa"/>
            </w:tcMar>
            <w:vAlign w:val="top"/>
          </w:tcPr>
          <w:p>
            <w:pPr>
              <w:jc w:val="left"/>
            </w:pPr>
            <w:r/>
            <w:r>
              <w:rPr>
                <w:b w:val="0"/>
                <w:sz w:val="18"/>
              </w:rPr>
              <w:t>coverage options for families in Brampton</w:t>
            </w:r>
          </w:p>
        </w:tc>
      </w:tr>
      <w:tr>
        <w:trPr>
          <w:cantSplit/>
        </w:trPr>
        <w:tc>
          <w:tcPr>
            <w:tcW w:type="dxa" w:w="2304"/>
            <w:tcMar>
              <w:top w:w="90" w:type="dxa"/>
              <w:start w:w="100" w:type="dxa"/>
              <w:bottom w:w="90" w:type="dxa"/>
              <w:end w:w="100" w:type="dxa"/>
            </w:tcMar>
            <w:vAlign w:val="top"/>
            <w:shd w:fill="F8FBFF"/>
          </w:tcPr>
          <w:p>
            <w:pPr>
              <w:jc w:val="left"/>
            </w:pPr>
            <w:r/>
            <w:r>
              <w:rPr>
                <w:b w:val="0"/>
                <w:sz w:val="18"/>
              </w:rPr>
              <w:t>CTA-based</w:t>
            </w:r>
          </w:p>
        </w:tc>
        <w:tc>
          <w:tcPr>
            <w:tcW w:type="dxa" w:w="5184"/>
            <w:tcMar>
              <w:top w:w="90" w:type="dxa"/>
              <w:start w:w="100" w:type="dxa"/>
              <w:bottom w:w="90" w:type="dxa"/>
              <w:end w:w="100" w:type="dxa"/>
            </w:tcMar>
            <w:vAlign w:val="top"/>
            <w:shd w:fill="F8FBFF"/>
          </w:tcPr>
          <w:p>
            <w:pPr>
              <w:jc w:val="left"/>
            </w:pPr>
            <w:r/>
            <w:r>
              <w:rPr>
                <w:b w:val="0"/>
                <w:sz w:val="18"/>
              </w:rPr>
              <w:t>Use when moving users toward conversion.</w:t>
            </w:r>
          </w:p>
        </w:tc>
        <w:tc>
          <w:tcPr>
            <w:tcW w:type="dxa" w:w="3456"/>
            <w:tcMar>
              <w:top w:w="90" w:type="dxa"/>
              <w:start w:w="100" w:type="dxa"/>
              <w:bottom w:w="90" w:type="dxa"/>
              <w:end w:w="100" w:type="dxa"/>
            </w:tcMar>
            <w:vAlign w:val="top"/>
            <w:shd w:fill="F8FBFF"/>
          </w:tcPr>
          <w:p>
            <w:pPr>
              <w:jc w:val="left"/>
            </w:pPr>
            <w:r/>
            <w:r>
              <w:rPr>
                <w:b w:val="0"/>
                <w:sz w:val="18"/>
              </w:rPr>
              <w:t>Get a quote</w:t>
            </w:r>
          </w:p>
        </w:tc>
      </w:tr>
      <w:tr>
        <w:trPr>
          <w:cantSplit/>
        </w:trPr>
        <w:tc>
          <w:tcPr>
            <w:tcW w:type="dxa" w:w="2304"/>
            <w:tcMar>
              <w:top w:w="90" w:type="dxa"/>
              <w:start w:w="100" w:type="dxa"/>
              <w:bottom w:w="90" w:type="dxa"/>
              <w:end w:w="100" w:type="dxa"/>
            </w:tcMar>
            <w:vAlign w:val="top"/>
          </w:tcPr>
          <w:p>
            <w:pPr>
              <w:jc w:val="left"/>
            </w:pPr>
            <w:r/>
            <w:r>
              <w:rPr>
                <w:b w:val="0"/>
                <w:sz w:val="18"/>
              </w:rPr>
              <w:t>Comparison/choice</w:t>
            </w:r>
          </w:p>
        </w:tc>
        <w:tc>
          <w:tcPr>
            <w:tcW w:type="dxa" w:w="5184"/>
            <w:tcMar>
              <w:top w:w="90" w:type="dxa"/>
              <w:start w:w="100" w:type="dxa"/>
              <w:bottom w:w="90" w:type="dxa"/>
              <w:end w:w="100" w:type="dxa"/>
            </w:tcMar>
            <w:vAlign w:val="top"/>
          </w:tcPr>
          <w:p>
            <w:pPr>
              <w:jc w:val="left"/>
            </w:pPr>
            <w:r/>
            <w:r>
              <w:rPr>
                <w:b w:val="0"/>
                <w:sz w:val="18"/>
              </w:rPr>
              <w:t>Use when helping users navigate locations or services.</w:t>
            </w:r>
          </w:p>
        </w:tc>
        <w:tc>
          <w:tcPr>
            <w:tcW w:type="dxa" w:w="3456"/>
            <w:tcMar>
              <w:top w:w="90" w:type="dxa"/>
              <w:start w:w="100" w:type="dxa"/>
              <w:bottom w:w="90" w:type="dxa"/>
              <w:end w:w="100" w:type="dxa"/>
            </w:tcMar>
            <w:vAlign w:val="top"/>
          </w:tcPr>
          <w:p>
            <w:pPr>
              <w:jc w:val="left"/>
            </w:pPr>
            <w:r/>
            <w:r>
              <w:rPr>
                <w:b w:val="0"/>
                <w:sz w:val="18"/>
              </w:rPr>
              <w:t>compare Ontario Super Visa coverage options</w:t>
            </w:r>
          </w:p>
        </w:tc>
      </w:tr>
      <w:tr>
        <w:trPr>
          <w:cantSplit/>
        </w:trPr>
        <w:tc>
          <w:tcPr>
            <w:tcW w:type="dxa" w:w="2304"/>
            <w:tcMar>
              <w:top w:w="90" w:type="dxa"/>
              <w:start w:w="100" w:type="dxa"/>
              <w:bottom w:w="90" w:type="dxa"/>
              <w:end w:w="100" w:type="dxa"/>
            </w:tcMar>
            <w:vAlign w:val="top"/>
            <w:shd w:fill="F8FBFF"/>
          </w:tcPr>
          <w:p>
            <w:pPr>
              <w:jc w:val="left"/>
            </w:pPr>
            <w:r/>
            <w:r>
              <w:rPr>
                <w:b w:val="0"/>
                <w:sz w:val="18"/>
              </w:rPr>
              <w:t>Branded</w:t>
            </w:r>
          </w:p>
        </w:tc>
        <w:tc>
          <w:tcPr>
            <w:tcW w:type="dxa" w:w="5184"/>
            <w:tcMar>
              <w:top w:w="90" w:type="dxa"/>
              <w:start w:w="100" w:type="dxa"/>
              <w:bottom w:w="90" w:type="dxa"/>
              <w:end w:w="100" w:type="dxa"/>
            </w:tcMar>
            <w:vAlign w:val="top"/>
            <w:shd w:fill="F8FBFF"/>
          </w:tcPr>
          <w:p>
            <w:pPr>
              <w:jc w:val="left"/>
            </w:pPr>
            <w:r/>
            <w:r>
              <w:rPr>
                <w:b w:val="0"/>
                <w:sz w:val="18"/>
              </w:rPr>
              <w:t>Use in footer/about/legal contexts.</w:t>
            </w:r>
          </w:p>
        </w:tc>
        <w:tc>
          <w:tcPr>
            <w:tcW w:type="dxa" w:w="3456"/>
            <w:tcMar>
              <w:top w:w="90" w:type="dxa"/>
              <w:start w:w="100" w:type="dxa"/>
              <w:bottom w:w="90" w:type="dxa"/>
              <w:end w:w="100" w:type="dxa"/>
            </w:tcMar>
            <w:vAlign w:val="top"/>
            <w:shd w:fill="F8FBFF"/>
          </w:tcPr>
          <w:p>
            <w:pPr>
              <w:jc w:val="left"/>
            </w:pPr>
            <w:r/>
            <w:r>
              <w:rPr>
                <w:b w:val="0"/>
                <w:sz w:val="18"/>
              </w:rPr>
              <w:t>SENuke AI</w:t>
            </w:r>
          </w:p>
        </w:tc>
      </w:tr>
      <w:tr>
        <w:trPr>
          <w:cantSplit/>
        </w:trPr>
        <w:tc>
          <w:tcPr>
            <w:tcW w:type="dxa" w:w="2304"/>
            <w:tcMar>
              <w:top w:w="90" w:type="dxa"/>
              <w:start w:w="100" w:type="dxa"/>
              <w:bottom w:w="90" w:type="dxa"/>
              <w:end w:w="100" w:type="dxa"/>
            </w:tcMar>
            <w:vAlign w:val="top"/>
          </w:tcPr>
          <w:p>
            <w:pPr>
              <w:jc w:val="left"/>
            </w:pPr>
            <w:r/>
            <w:r>
              <w:rPr>
                <w:b w:val="0"/>
                <w:sz w:val="18"/>
              </w:rPr>
              <w:t>Avoid generic overuse</w:t>
            </w:r>
          </w:p>
        </w:tc>
        <w:tc>
          <w:tcPr>
            <w:tcW w:type="dxa" w:w="5184"/>
            <w:tcMar>
              <w:top w:w="90" w:type="dxa"/>
              <w:start w:w="100" w:type="dxa"/>
              <w:bottom w:w="90" w:type="dxa"/>
              <w:end w:w="100" w:type="dxa"/>
            </w:tcMar>
            <w:vAlign w:val="top"/>
          </w:tcPr>
          <w:p>
            <w:pPr>
              <w:jc w:val="left"/>
            </w:pPr>
            <w:r/>
            <w:r>
              <w:rPr>
                <w:b w:val="0"/>
                <w:sz w:val="18"/>
              </w:rPr>
              <w:t>Avoid repeated generic anchors without context.</w:t>
            </w:r>
          </w:p>
        </w:tc>
        <w:tc>
          <w:tcPr>
            <w:tcW w:type="dxa" w:w="3456"/>
            <w:tcMar>
              <w:top w:w="90" w:type="dxa"/>
              <w:start w:w="100" w:type="dxa"/>
              <w:bottom w:w="90" w:type="dxa"/>
              <w:end w:w="100" w:type="dxa"/>
            </w:tcMar>
            <w:vAlign w:val="top"/>
          </w:tcPr>
          <w:p>
            <w:pPr>
              <w:jc w:val="left"/>
            </w:pPr>
            <w:r/>
            <w:r>
              <w:rPr>
                <w:b w:val="0"/>
                <w:sz w:val="18"/>
              </w:rPr>
              <w:t>click here</w:t>
            </w:r>
          </w:p>
        </w:tc>
      </w:tr>
    </w:tbl>
    <w:p/>
    <w:tbl>
      <w:tblPr>
        <w:tblW w:type="auto" w:w="0"/>
        <w:jc w:val="center"/>
        <w:tblLayout w:type="autofit"/>
        <w:tblLook w:firstColumn="1" w:firstRow="1" w:lastColumn="0" w:lastRow="0" w:noHBand="0" w:noVBand="1" w:val="04A0"/>
      </w:tblPr>
      <w:tblGrid>
        <w:gridCol w:w="10224"/>
      </w:tblGrid>
      <w:tr>
        <w:trPr>
          <w:cantSplit/>
        </w:trPr>
        <w:tc>
          <w:tcPr>
            <w:tcW w:type="dxa" w:w="10224"/>
            <w:shd w:fill="FFF8E8"/>
            <w:tcMar>
              <w:top w:w="160" w:type="dxa"/>
              <w:start w:w="160" w:type="dxa"/>
              <w:bottom w:w="160" w:type="dxa"/>
              <w:end w:w="160" w:type="dxa"/>
            </w:tcMar>
            <w:tcBorders>
              <w:top w:val="single" w:sz="6" w:color="F1C232"/>
              <w:left w:val="single" w:sz="6" w:color="F1C232"/>
              <w:bottom w:val="single" w:sz="6" w:color="F1C232"/>
              <w:right w:val="single" w:sz="6" w:color="F1C232"/>
            </w:tcBorders>
          </w:tcPr>
          <w:p>
            <w:r>
              <w:rPr>
                <w:b/>
                <w:color w:val="164E95"/>
                <w:sz w:val="20"/>
              </w:rPr>
              <w:t>Anchor Rule</w:t>
            </w:r>
          </w:p>
          <w:p>
            <w:pPr>
              <w:spacing w:after="0"/>
            </w:pPr>
            <w:r>
              <w:rPr>
                <w:sz w:val="19"/>
              </w:rPr>
              <w:t>The anchor should make sense even if the user reads only the link text. The destination page should satisfy the expectation created by the anchor.</w:t>
            </w:r>
          </w:p>
        </w:tc>
      </w:tr>
    </w:tbl>
    <w:p>
      <w:pPr>
        <w:pStyle w:val="Heading1"/>
        <w:pBdr>
          <w:bottom w:val="single" w:sz="8" w:space="1" w:color="D9E2F3"/>
        </w:pBdr>
      </w:pPr>
      <w:r>
        <w:t>7. Example: Super Visa Insurance Cluster</w:t>
      </w:r>
    </w:p>
    <w:p>
      <w:r>
        <w:t>Input example:</w:t>
      </w:r>
    </w:p>
    <w:tbl>
      <w:tblPr>
        <w:tblW w:type="auto" w:w="0"/>
        <w:jc w:val="center"/>
        <w:tblLook w:firstColumn="1" w:firstRow="1" w:lastColumn="0" w:lastRow="0" w:noHBand="0" w:noVBand="1" w:val="04A0"/>
      </w:tblPr>
      <w:tblGrid>
        <w:gridCol w:w="10224"/>
      </w:tblGrid>
      <w:tr>
        <w:trPr>
          <w:cantSplit/>
        </w:trPr>
        <w:tc>
          <w:tcPr>
            <w:tcW w:type="dxa" w:w="10224"/>
            <w:shd w:fill="F6F8FA"/>
            <w:tcMar>
              <w:top w:w="140" w:type="dxa"/>
              <w:start w:w="140" w:type="dxa"/>
              <w:bottom w:w="140" w:type="dxa"/>
              <w:end w:w="140" w:type="dxa"/>
            </w:tcMar>
          </w:tcPr>
          <w:p>
            <w:pPr>
              <w:spacing w:after="0"/>
            </w:pPr>
            <w:r>
              <w:rPr>
                <w:rFonts w:ascii="Courier New" w:hAnsi="Courier New" w:eastAsia="Courier New"/>
                <w:sz w:val="17"/>
              </w:rPr>
              <w:t>Primary Keyword: Super Visa Insurance</w:t>
              <w:br/>
              <w:t>Target Locations: Ontario, Brampton, Toronto, Mississauga</w:t>
              <w:br/>
              <w:t>Business Goal: Generate quote leads</w:t>
              <w:br/>
              <w:t>Primary CTA: Get a Quote</w:t>
            </w:r>
          </w:p>
        </w:tc>
      </w:tr>
    </w:tbl>
    <w:p>
      <w:pPr>
        <w:pStyle w:val="Heading2"/>
      </w:pPr>
      <w:r>
        <w:t>Recommended Internal Link 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664"/>
            <w:shd w:fill="164E95"/>
            <w:tcMar>
              <w:top w:w="100" w:type="dxa"/>
              <w:start w:w="100" w:type="dxa"/>
              <w:bottom w:w="100" w:type="dxa"/>
              <w:end w:w="100" w:type="dxa"/>
            </w:tcMar>
            <w:vAlign w:val="center"/>
          </w:tcPr>
          <w:p>
            <w:pPr>
              <w:jc w:val="left"/>
            </w:pPr>
            <w:r/>
            <w:r>
              <w:rPr>
                <w:b/>
                <w:color w:val="FFFFFF"/>
                <w:sz w:val="18"/>
              </w:rPr>
              <w:t>From Page</w:t>
            </w:r>
          </w:p>
        </w:tc>
        <w:tc>
          <w:tcPr>
            <w:tcW w:type="dxa" w:w="3168"/>
            <w:shd w:fill="164E95"/>
            <w:tcMar>
              <w:top w:w="100" w:type="dxa"/>
              <w:start w:w="100" w:type="dxa"/>
              <w:bottom w:w="100" w:type="dxa"/>
              <w:end w:w="100" w:type="dxa"/>
            </w:tcMar>
            <w:vAlign w:val="center"/>
          </w:tcPr>
          <w:p>
            <w:pPr>
              <w:jc w:val="left"/>
            </w:pPr>
            <w:r/>
            <w:r>
              <w:rPr>
                <w:b/>
                <w:color w:val="FFFFFF"/>
                <w:sz w:val="18"/>
              </w:rPr>
              <w:t>To Page</w:t>
            </w:r>
          </w:p>
        </w:tc>
        <w:tc>
          <w:tcPr>
            <w:tcW w:type="dxa" w:w="2376"/>
            <w:shd w:fill="164E95"/>
            <w:tcMar>
              <w:top w:w="100" w:type="dxa"/>
              <w:start w:w="100" w:type="dxa"/>
              <w:bottom w:w="100" w:type="dxa"/>
              <w:end w:w="100" w:type="dxa"/>
            </w:tcMar>
            <w:vAlign w:val="center"/>
          </w:tcPr>
          <w:p>
            <w:pPr>
              <w:jc w:val="left"/>
            </w:pPr>
            <w:r/>
            <w:r>
              <w:rPr>
                <w:b/>
                <w:color w:val="FFFFFF"/>
                <w:sz w:val="18"/>
              </w:rPr>
              <w:t>Placement</w:t>
            </w:r>
          </w:p>
        </w:tc>
        <w:tc>
          <w:tcPr>
            <w:tcW w:type="dxa" w:w="2808"/>
            <w:shd w:fill="164E95"/>
            <w:tcMar>
              <w:top w:w="100" w:type="dxa"/>
              <w:start w:w="100" w:type="dxa"/>
              <w:bottom w:w="100" w:type="dxa"/>
              <w:end w:w="100" w:type="dxa"/>
            </w:tcMar>
            <w:vAlign w:val="center"/>
          </w:tcPr>
          <w:p>
            <w:pPr>
              <w:jc w:val="left"/>
            </w:pPr>
            <w:r/>
            <w:r>
              <w:rPr>
                <w:b/>
                <w:color w:val="FFFFFF"/>
                <w:sz w:val="18"/>
              </w:rPr>
              <w:t>Suggested Anchor</w:t>
            </w:r>
          </w:p>
        </w:tc>
      </w:tr>
      <w:tr>
        <w:trPr>
          <w:cantSplit/>
        </w:trPr>
        <w:tc>
          <w:tcPr>
            <w:tcW w:type="dxa" w:w="2664"/>
            <w:tcMar>
              <w:top w:w="90" w:type="dxa"/>
              <w:start w:w="100" w:type="dxa"/>
              <w:bottom w:w="90" w:type="dxa"/>
              <w:end w:w="100" w:type="dxa"/>
            </w:tcMar>
            <w:vAlign w:val="top"/>
            <w:shd w:fill="F8FBFF"/>
          </w:tcPr>
          <w:p>
            <w:pPr>
              <w:jc w:val="left"/>
            </w:pPr>
            <w:r/>
            <w:r>
              <w:rPr>
                <w:b w:val="0"/>
                <w:sz w:val="18"/>
              </w:rPr>
              <w:t>/super-visa-insurance/</w:t>
            </w:r>
          </w:p>
        </w:tc>
        <w:tc>
          <w:tcPr>
            <w:tcW w:type="dxa" w:w="3168"/>
            <w:tcMar>
              <w:top w:w="90" w:type="dxa"/>
              <w:start w:w="100" w:type="dxa"/>
              <w:bottom w:w="90" w:type="dxa"/>
              <w:end w:w="100" w:type="dxa"/>
            </w:tcMar>
            <w:vAlign w:val="top"/>
            <w:shd w:fill="F8FBFF"/>
          </w:tcPr>
          <w:p>
            <w:pPr>
              <w:jc w:val="left"/>
            </w:pPr>
            <w:r/>
            <w:r>
              <w:rPr>
                <w:b w:val="0"/>
                <w:sz w:val="18"/>
              </w:rPr>
              <w:t>/super-visa-insurance-ontario/</w:t>
            </w:r>
          </w:p>
        </w:tc>
        <w:tc>
          <w:tcPr>
            <w:tcW w:type="dxa" w:w="2376"/>
            <w:tcMar>
              <w:top w:w="90" w:type="dxa"/>
              <w:start w:w="100" w:type="dxa"/>
              <w:bottom w:w="90" w:type="dxa"/>
              <w:end w:w="100" w:type="dxa"/>
            </w:tcMar>
            <w:vAlign w:val="top"/>
            <w:shd w:fill="F8FBFF"/>
          </w:tcPr>
          <w:p>
            <w:pPr>
              <w:jc w:val="left"/>
            </w:pPr>
            <w:r/>
            <w:r>
              <w:rPr>
                <w:b w:val="0"/>
                <w:sz w:val="18"/>
              </w:rPr>
              <w:t>Service area section</w:t>
            </w:r>
          </w:p>
        </w:tc>
        <w:tc>
          <w:tcPr>
            <w:tcW w:type="dxa" w:w="2808"/>
            <w:tcMar>
              <w:top w:w="90" w:type="dxa"/>
              <w:start w:w="100" w:type="dxa"/>
              <w:bottom w:w="90" w:type="dxa"/>
              <w:end w:w="100" w:type="dxa"/>
            </w:tcMar>
            <w:vAlign w:val="top"/>
            <w:shd w:fill="F8FBFF"/>
          </w:tcPr>
          <w:p>
            <w:pPr>
              <w:jc w:val="left"/>
            </w:pPr>
            <w:r/>
            <w:r>
              <w:rPr>
                <w:b w:val="0"/>
                <w:sz w:val="18"/>
              </w:rPr>
              <w:t>Super Visa Insurance in Ontario</w:t>
            </w:r>
          </w:p>
        </w:tc>
      </w:tr>
      <w:tr>
        <w:trPr>
          <w:cantSplit/>
        </w:trPr>
        <w:tc>
          <w:tcPr>
            <w:tcW w:type="dxa" w:w="2664"/>
            <w:tcMar>
              <w:top w:w="90" w:type="dxa"/>
              <w:start w:w="100" w:type="dxa"/>
              <w:bottom w:w="90" w:type="dxa"/>
              <w:end w:w="100" w:type="dxa"/>
            </w:tcMar>
            <w:vAlign w:val="top"/>
          </w:tcPr>
          <w:p>
            <w:pPr>
              <w:jc w:val="left"/>
            </w:pPr>
            <w:r/>
            <w:r>
              <w:rPr>
                <w:b w:val="0"/>
                <w:sz w:val="18"/>
              </w:rPr>
              <w:t>/super-visa-insurance-ontario/</w:t>
            </w:r>
          </w:p>
        </w:tc>
        <w:tc>
          <w:tcPr>
            <w:tcW w:type="dxa" w:w="3168"/>
            <w:tcMar>
              <w:top w:w="90" w:type="dxa"/>
              <w:start w:w="100" w:type="dxa"/>
              <w:bottom w:w="90" w:type="dxa"/>
              <w:end w:w="100" w:type="dxa"/>
            </w:tcMar>
            <w:vAlign w:val="top"/>
          </w:tcPr>
          <w:p>
            <w:pPr>
              <w:jc w:val="left"/>
            </w:pPr>
            <w:r/>
            <w:r>
              <w:rPr>
                <w:b w:val="0"/>
                <w:sz w:val="18"/>
              </w:rPr>
              <w:t>/super-visa-insurance-brampton/</w:t>
            </w:r>
          </w:p>
        </w:tc>
        <w:tc>
          <w:tcPr>
            <w:tcW w:type="dxa" w:w="2376"/>
            <w:tcMar>
              <w:top w:w="90" w:type="dxa"/>
              <w:start w:w="100" w:type="dxa"/>
              <w:bottom w:w="90" w:type="dxa"/>
              <w:end w:w="100" w:type="dxa"/>
            </w:tcMar>
            <w:vAlign w:val="top"/>
          </w:tcPr>
          <w:p>
            <w:pPr>
              <w:jc w:val="left"/>
            </w:pPr>
            <w:r/>
            <w:r>
              <w:rPr>
                <w:b w:val="0"/>
                <w:sz w:val="18"/>
              </w:rPr>
              <w:t>City cards / service areas</w:t>
            </w:r>
          </w:p>
        </w:tc>
        <w:tc>
          <w:tcPr>
            <w:tcW w:type="dxa" w:w="2808"/>
            <w:tcMar>
              <w:top w:w="90" w:type="dxa"/>
              <w:start w:w="100" w:type="dxa"/>
              <w:bottom w:w="90" w:type="dxa"/>
              <w:end w:w="100" w:type="dxa"/>
            </w:tcMar>
            <w:vAlign w:val="top"/>
          </w:tcPr>
          <w:p>
            <w:pPr>
              <w:jc w:val="left"/>
            </w:pPr>
            <w:r/>
            <w:r>
              <w:rPr>
                <w:b w:val="0"/>
                <w:sz w:val="18"/>
              </w:rPr>
              <w:t>Brampton Super Visa Insurance</w:t>
            </w:r>
          </w:p>
        </w:tc>
      </w:tr>
      <w:tr>
        <w:trPr>
          <w:cantSplit/>
        </w:trPr>
        <w:tc>
          <w:tcPr>
            <w:tcW w:type="dxa" w:w="2664"/>
            <w:tcMar>
              <w:top w:w="90" w:type="dxa"/>
              <w:start w:w="100" w:type="dxa"/>
              <w:bottom w:w="90" w:type="dxa"/>
              <w:end w:w="100" w:type="dxa"/>
            </w:tcMar>
            <w:vAlign w:val="top"/>
            <w:shd w:fill="F8FBFF"/>
          </w:tcPr>
          <w:p>
            <w:pPr>
              <w:jc w:val="left"/>
            </w:pPr>
            <w:r/>
            <w:r>
              <w:rPr>
                <w:b w:val="0"/>
                <w:sz w:val="18"/>
              </w:rPr>
              <w:t>/super-visa-insurance-ontario/</w:t>
            </w:r>
          </w:p>
        </w:tc>
        <w:tc>
          <w:tcPr>
            <w:tcW w:type="dxa" w:w="3168"/>
            <w:tcMar>
              <w:top w:w="90" w:type="dxa"/>
              <w:start w:w="100" w:type="dxa"/>
              <w:bottom w:w="90" w:type="dxa"/>
              <w:end w:w="100" w:type="dxa"/>
            </w:tcMar>
            <w:vAlign w:val="top"/>
            <w:shd w:fill="F8FBFF"/>
          </w:tcPr>
          <w:p>
            <w:pPr>
              <w:jc w:val="left"/>
            </w:pPr>
            <w:r/>
            <w:r>
              <w:rPr>
                <w:b w:val="0"/>
                <w:sz w:val="18"/>
              </w:rPr>
              <w:t>/super-visa-insurance-toronto/</w:t>
            </w:r>
          </w:p>
        </w:tc>
        <w:tc>
          <w:tcPr>
            <w:tcW w:type="dxa" w:w="2376"/>
            <w:tcMar>
              <w:top w:w="90" w:type="dxa"/>
              <w:start w:w="100" w:type="dxa"/>
              <w:bottom w:w="90" w:type="dxa"/>
              <w:end w:w="100" w:type="dxa"/>
            </w:tcMar>
            <w:vAlign w:val="top"/>
            <w:shd w:fill="F8FBFF"/>
          </w:tcPr>
          <w:p>
            <w:pPr>
              <w:jc w:val="left"/>
            </w:pPr>
            <w:r/>
            <w:r>
              <w:rPr>
                <w:b w:val="0"/>
                <w:sz w:val="18"/>
              </w:rPr>
              <w:t>City cards / service areas</w:t>
            </w:r>
          </w:p>
        </w:tc>
        <w:tc>
          <w:tcPr>
            <w:tcW w:type="dxa" w:w="2808"/>
            <w:tcMar>
              <w:top w:w="90" w:type="dxa"/>
              <w:start w:w="100" w:type="dxa"/>
              <w:bottom w:w="90" w:type="dxa"/>
              <w:end w:w="100" w:type="dxa"/>
            </w:tcMar>
            <w:vAlign w:val="top"/>
            <w:shd w:fill="F8FBFF"/>
          </w:tcPr>
          <w:p>
            <w:pPr>
              <w:jc w:val="left"/>
            </w:pPr>
            <w:r/>
            <w:r>
              <w:rPr>
                <w:b w:val="0"/>
                <w:sz w:val="18"/>
              </w:rPr>
              <w:t>Toronto Super Visa Insurance</w:t>
            </w:r>
          </w:p>
        </w:tc>
      </w:tr>
      <w:tr>
        <w:trPr>
          <w:cantSplit/>
        </w:trPr>
        <w:tc>
          <w:tcPr>
            <w:tcW w:type="dxa" w:w="2664"/>
            <w:tcMar>
              <w:top w:w="90" w:type="dxa"/>
              <w:start w:w="100" w:type="dxa"/>
              <w:bottom w:w="90" w:type="dxa"/>
              <w:end w:w="100" w:type="dxa"/>
            </w:tcMar>
            <w:vAlign w:val="top"/>
          </w:tcPr>
          <w:p>
            <w:pPr>
              <w:jc w:val="left"/>
            </w:pPr>
            <w:r/>
            <w:r>
              <w:rPr>
                <w:b w:val="0"/>
                <w:sz w:val="18"/>
              </w:rPr>
              <w:t>/super-visa-insurance-ontario/</w:t>
            </w:r>
          </w:p>
        </w:tc>
        <w:tc>
          <w:tcPr>
            <w:tcW w:type="dxa" w:w="3168"/>
            <w:tcMar>
              <w:top w:w="90" w:type="dxa"/>
              <w:start w:w="100" w:type="dxa"/>
              <w:bottom w:w="90" w:type="dxa"/>
              <w:end w:w="100" w:type="dxa"/>
            </w:tcMar>
            <w:vAlign w:val="top"/>
          </w:tcPr>
          <w:p>
            <w:pPr>
              <w:jc w:val="left"/>
            </w:pPr>
            <w:r/>
            <w:r>
              <w:rPr>
                <w:b w:val="0"/>
                <w:sz w:val="18"/>
              </w:rPr>
              <w:t>/super-visa-insurance-mississauga/</w:t>
            </w:r>
          </w:p>
        </w:tc>
        <w:tc>
          <w:tcPr>
            <w:tcW w:type="dxa" w:w="2376"/>
            <w:tcMar>
              <w:top w:w="90" w:type="dxa"/>
              <w:start w:w="100" w:type="dxa"/>
              <w:bottom w:w="90" w:type="dxa"/>
              <w:end w:w="100" w:type="dxa"/>
            </w:tcMar>
            <w:vAlign w:val="top"/>
          </w:tcPr>
          <w:p>
            <w:pPr>
              <w:jc w:val="left"/>
            </w:pPr>
            <w:r/>
            <w:r>
              <w:rPr>
                <w:b w:val="0"/>
                <w:sz w:val="18"/>
              </w:rPr>
              <w:t>City cards / service areas</w:t>
            </w:r>
          </w:p>
        </w:tc>
        <w:tc>
          <w:tcPr>
            <w:tcW w:type="dxa" w:w="2808"/>
            <w:tcMar>
              <w:top w:w="90" w:type="dxa"/>
              <w:start w:w="100" w:type="dxa"/>
              <w:bottom w:w="90" w:type="dxa"/>
              <w:end w:w="100" w:type="dxa"/>
            </w:tcMar>
            <w:vAlign w:val="top"/>
          </w:tcPr>
          <w:p>
            <w:pPr>
              <w:jc w:val="left"/>
            </w:pPr>
            <w:r/>
            <w:r>
              <w:rPr>
                <w:b w:val="0"/>
                <w:sz w:val="18"/>
              </w:rPr>
              <w:t>Mississauga Super Visa Insurance</w:t>
            </w:r>
          </w:p>
        </w:tc>
      </w:tr>
      <w:tr>
        <w:trPr>
          <w:cantSplit/>
        </w:trPr>
        <w:tc>
          <w:tcPr>
            <w:tcW w:type="dxa" w:w="2664"/>
            <w:tcMar>
              <w:top w:w="90" w:type="dxa"/>
              <w:start w:w="100" w:type="dxa"/>
              <w:bottom w:w="90" w:type="dxa"/>
              <w:end w:w="100" w:type="dxa"/>
            </w:tcMar>
            <w:vAlign w:val="top"/>
            <w:shd w:fill="F8FBFF"/>
          </w:tcPr>
          <w:p>
            <w:pPr>
              <w:jc w:val="left"/>
            </w:pPr>
            <w:r/>
            <w:r>
              <w:rPr>
                <w:b w:val="0"/>
                <w:sz w:val="18"/>
              </w:rPr>
              <w:t>/super-visa-insurance-brampton/</w:t>
            </w:r>
          </w:p>
        </w:tc>
        <w:tc>
          <w:tcPr>
            <w:tcW w:type="dxa" w:w="3168"/>
            <w:tcMar>
              <w:top w:w="90" w:type="dxa"/>
              <w:start w:w="100" w:type="dxa"/>
              <w:bottom w:w="90" w:type="dxa"/>
              <w:end w:w="100" w:type="dxa"/>
            </w:tcMar>
            <w:vAlign w:val="top"/>
            <w:shd w:fill="F8FBFF"/>
          </w:tcPr>
          <w:p>
            <w:pPr>
              <w:jc w:val="left"/>
            </w:pPr>
            <w:r/>
            <w:r>
              <w:rPr>
                <w:b w:val="0"/>
                <w:sz w:val="18"/>
              </w:rPr>
              <w:t>/super-visa-insurance-ontario/</w:t>
            </w:r>
          </w:p>
        </w:tc>
        <w:tc>
          <w:tcPr>
            <w:tcW w:type="dxa" w:w="2376"/>
            <w:tcMar>
              <w:top w:w="90" w:type="dxa"/>
              <w:start w:w="100" w:type="dxa"/>
              <w:bottom w:w="90" w:type="dxa"/>
              <w:end w:w="100" w:type="dxa"/>
            </w:tcMar>
            <w:vAlign w:val="top"/>
            <w:shd w:fill="F8FBFF"/>
          </w:tcPr>
          <w:p>
            <w:pPr>
              <w:jc w:val="left"/>
            </w:pPr>
            <w:r/>
            <w:r>
              <w:rPr>
                <w:b w:val="0"/>
                <w:sz w:val="18"/>
              </w:rPr>
              <w:t>Intro/body or breadcrumb</w:t>
            </w:r>
          </w:p>
        </w:tc>
        <w:tc>
          <w:tcPr>
            <w:tcW w:type="dxa" w:w="2808"/>
            <w:tcMar>
              <w:top w:w="90" w:type="dxa"/>
              <w:start w:w="100" w:type="dxa"/>
              <w:bottom w:w="90" w:type="dxa"/>
              <w:end w:w="100" w:type="dxa"/>
            </w:tcMar>
            <w:vAlign w:val="top"/>
            <w:shd w:fill="F8FBFF"/>
          </w:tcPr>
          <w:p>
            <w:pPr>
              <w:jc w:val="left"/>
            </w:pPr>
            <w:r/>
            <w:r>
              <w:rPr>
                <w:b w:val="0"/>
                <w:sz w:val="18"/>
              </w:rPr>
              <w:t>Ontario Super Visa Insurance options</w:t>
            </w:r>
          </w:p>
        </w:tc>
      </w:tr>
      <w:tr>
        <w:trPr>
          <w:cantSplit/>
        </w:trPr>
        <w:tc>
          <w:tcPr>
            <w:tcW w:type="dxa" w:w="2664"/>
            <w:tcMar>
              <w:top w:w="90" w:type="dxa"/>
              <w:start w:w="100" w:type="dxa"/>
              <w:bottom w:w="90" w:type="dxa"/>
              <w:end w:w="100" w:type="dxa"/>
            </w:tcMar>
            <w:vAlign w:val="top"/>
          </w:tcPr>
          <w:p>
            <w:pPr>
              <w:jc w:val="left"/>
            </w:pPr>
            <w:r/>
            <w:r>
              <w:rPr>
                <w:b w:val="0"/>
                <w:sz w:val="18"/>
              </w:rPr>
              <w:t>/super-visa-insurance-brampton/</w:t>
            </w:r>
          </w:p>
        </w:tc>
        <w:tc>
          <w:tcPr>
            <w:tcW w:type="dxa" w:w="3168"/>
            <w:tcMar>
              <w:top w:w="90" w:type="dxa"/>
              <w:start w:w="100" w:type="dxa"/>
              <w:bottom w:w="90" w:type="dxa"/>
              <w:end w:w="100" w:type="dxa"/>
            </w:tcMar>
            <w:vAlign w:val="top"/>
          </w:tcPr>
          <w:p>
            <w:pPr>
              <w:jc w:val="left"/>
            </w:pPr>
            <w:r/>
            <w:r>
              <w:rPr>
                <w:b w:val="0"/>
                <w:sz w:val="18"/>
              </w:rPr>
              <w:t>/contact/</w:t>
            </w:r>
          </w:p>
        </w:tc>
        <w:tc>
          <w:tcPr>
            <w:tcW w:type="dxa" w:w="2376"/>
            <w:tcMar>
              <w:top w:w="90" w:type="dxa"/>
              <w:start w:w="100" w:type="dxa"/>
              <w:bottom w:w="90" w:type="dxa"/>
              <w:end w:w="100" w:type="dxa"/>
            </w:tcMar>
            <w:vAlign w:val="top"/>
          </w:tcPr>
          <w:p>
            <w:pPr>
              <w:jc w:val="left"/>
            </w:pPr>
            <w:r/>
            <w:r>
              <w:rPr>
                <w:b w:val="0"/>
                <w:sz w:val="18"/>
              </w:rPr>
              <w:t>CTA section</w:t>
            </w:r>
          </w:p>
        </w:tc>
        <w:tc>
          <w:tcPr>
            <w:tcW w:type="dxa" w:w="2808"/>
            <w:tcMar>
              <w:top w:w="90" w:type="dxa"/>
              <w:start w:w="100" w:type="dxa"/>
              <w:bottom w:w="90" w:type="dxa"/>
              <w:end w:w="100" w:type="dxa"/>
            </w:tcMar>
            <w:vAlign w:val="top"/>
          </w:tcPr>
          <w:p>
            <w:pPr>
              <w:jc w:val="left"/>
            </w:pPr>
            <w:r/>
            <w:r>
              <w:rPr>
                <w:b w:val="0"/>
                <w:sz w:val="18"/>
              </w:rPr>
              <w:t>Get a Super Visa Insurance quote</w:t>
            </w:r>
          </w:p>
        </w:tc>
      </w:tr>
      <w:tr>
        <w:trPr>
          <w:cantSplit/>
        </w:trPr>
        <w:tc>
          <w:tcPr>
            <w:tcW w:type="dxa" w:w="2664"/>
            <w:tcMar>
              <w:top w:w="90" w:type="dxa"/>
              <w:start w:w="100" w:type="dxa"/>
              <w:bottom w:w="90" w:type="dxa"/>
              <w:end w:w="100" w:type="dxa"/>
            </w:tcMar>
            <w:vAlign w:val="top"/>
            <w:shd w:fill="F8FBFF"/>
          </w:tcPr>
          <w:p>
            <w:pPr>
              <w:jc w:val="left"/>
            </w:pPr>
            <w:r/>
            <w:r>
              <w:rPr>
                <w:b w:val="0"/>
                <w:sz w:val="18"/>
              </w:rPr>
              <w:t>/super-visa-insurance-toronto/</w:t>
            </w:r>
          </w:p>
        </w:tc>
        <w:tc>
          <w:tcPr>
            <w:tcW w:type="dxa" w:w="3168"/>
            <w:tcMar>
              <w:top w:w="90" w:type="dxa"/>
              <w:start w:w="100" w:type="dxa"/>
              <w:bottom w:w="90" w:type="dxa"/>
              <w:end w:w="100" w:type="dxa"/>
            </w:tcMar>
            <w:vAlign w:val="top"/>
            <w:shd w:fill="F8FBFF"/>
          </w:tcPr>
          <w:p>
            <w:pPr>
              <w:jc w:val="left"/>
            </w:pPr>
            <w:r/>
            <w:r>
              <w:rPr>
                <w:b w:val="0"/>
                <w:sz w:val="18"/>
              </w:rPr>
              <w:t>/super-visa-insurance-requirements-canada/</w:t>
            </w:r>
          </w:p>
        </w:tc>
        <w:tc>
          <w:tcPr>
            <w:tcW w:type="dxa" w:w="2376"/>
            <w:tcMar>
              <w:top w:w="90" w:type="dxa"/>
              <w:start w:w="100" w:type="dxa"/>
              <w:bottom w:w="90" w:type="dxa"/>
              <w:end w:w="100" w:type="dxa"/>
            </w:tcMar>
            <w:vAlign w:val="top"/>
            <w:shd w:fill="F8FBFF"/>
          </w:tcPr>
          <w:p>
            <w:pPr>
              <w:jc w:val="left"/>
            </w:pPr>
            <w:r/>
            <w:r>
              <w:rPr>
                <w:b w:val="0"/>
                <w:sz w:val="18"/>
              </w:rPr>
              <w:t>FAQ/support section</w:t>
            </w:r>
          </w:p>
        </w:tc>
        <w:tc>
          <w:tcPr>
            <w:tcW w:type="dxa" w:w="2808"/>
            <w:tcMar>
              <w:top w:w="90" w:type="dxa"/>
              <w:start w:w="100" w:type="dxa"/>
              <w:bottom w:w="90" w:type="dxa"/>
              <w:end w:w="100" w:type="dxa"/>
            </w:tcMar>
            <w:vAlign w:val="top"/>
            <w:shd w:fill="F8FBFF"/>
          </w:tcPr>
          <w:p>
            <w:pPr>
              <w:jc w:val="left"/>
            </w:pPr>
            <w:r/>
            <w:r>
              <w:rPr>
                <w:b w:val="0"/>
                <w:sz w:val="18"/>
              </w:rPr>
              <w:t>Super Visa Insurance requirements</w:t>
            </w:r>
          </w:p>
        </w:tc>
      </w:tr>
      <w:tr>
        <w:trPr>
          <w:cantSplit/>
        </w:trPr>
        <w:tc>
          <w:tcPr>
            <w:tcW w:type="dxa" w:w="2664"/>
            <w:tcMar>
              <w:top w:w="90" w:type="dxa"/>
              <w:start w:w="100" w:type="dxa"/>
              <w:bottom w:w="90" w:type="dxa"/>
              <w:end w:w="100" w:type="dxa"/>
            </w:tcMar>
            <w:vAlign w:val="top"/>
          </w:tcPr>
          <w:p>
            <w:pPr>
              <w:jc w:val="left"/>
            </w:pPr>
            <w:r/>
            <w:r>
              <w:rPr>
                <w:b w:val="0"/>
                <w:sz w:val="18"/>
              </w:rPr>
              <w:t>/blog/super-visa-insurance-cost/</w:t>
            </w:r>
          </w:p>
        </w:tc>
        <w:tc>
          <w:tcPr>
            <w:tcW w:type="dxa" w:w="3168"/>
            <w:tcMar>
              <w:top w:w="90" w:type="dxa"/>
              <w:start w:w="100" w:type="dxa"/>
              <w:bottom w:w="90" w:type="dxa"/>
              <w:end w:w="100" w:type="dxa"/>
            </w:tcMar>
            <w:vAlign w:val="top"/>
          </w:tcPr>
          <w:p>
            <w:pPr>
              <w:jc w:val="left"/>
            </w:pPr>
            <w:r/>
            <w:r>
              <w:rPr>
                <w:b w:val="0"/>
                <w:sz w:val="18"/>
              </w:rPr>
              <w:t>/super-visa-insurance/</w:t>
            </w:r>
          </w:p>
        </w:tc>
        <w:tc>
          <w:tcPr>
            <w:tcW w:type="dxa" w:w="2376"/>
            <w:tcMar>
              <w:top w:w="90" w:type="dxa"/>
              <w:start w:w="100" w:type="dxa"/>
              <w:bottom w:w="90" w:type="dxa"/>
              <w:end w:w="100" w:type="dxa"/>
            </w:tcMar>
            <w:vAlign w:val="top"/>
          </w:tcPr>
          <w:p>
            <w:pPr>
              <w:jc w:val="left"/>
            </w:pPr>
            <w:r/>
            <w:r>
              <w:rPr>
                <w:b w:val="0"/>
                <w:sz w:val="18"/>
              </w:rPr>
              <w:t>Body content</w:t>
            </w:r>
          </w:p>
        </w:tc>
        <w:tc>
          <w:tcPr>
            <w:tcW w:type="dxa" w:w="2808"/>
            <w:tcMar>
              <w:top w:w="90" w:type="dxa"/>
              <w:start w:w="100" w:type="dxa"/>
              <w:bottom w:w="90" w:type="dxa"/>
              <w:end w:w="100" w:type="dxa"/>
            </w:tcMar>
            <w:vAlign w:val="top"/>
          </w:tcPr>
          <w:p>
            <w:pPr>
              <w:jc w:val="left"/>
            </w:pPr>
            <w:r/>
            <w:r>
              <w:rPr>
                <w:b w:val="0"/>
                <w:sz w:val="18"/>
              </w:rPr>
              <w:t>compare Super Visa Insurance options</w:t>
            </w:r>
          </w:p>
        </w:tc>
      </w:tr>
    </w:tbl>
    <w:p/>
    <w:p>
      <w:pPr>
        <w:pStyle w:val="Heading1"/>
        <w:pBdr>
          <w:bottom w:val="single" w:sz="8" w:space="1" w:color="D9E2F3"/>
        </w:pBdr>
      </w:pPr>
      <w:r>
        <w:t>8. Internal Link Data Model</w:t>
      </w:r>
    </w:p>
    <w:p>
      <w:r>
        <w:t>Internal links should be stored as structured records inside the Website Model. Do not hardcode links only inside generated HTML.</w:t>
      </w:r>
    </w:p>
    <w:tbl>
      <w:tblPr>
        <w:tblW w:type="auto" w:w="0"/>
        <w:jc w:val="center"/>
        <w:tblLook w:firstColumn="1" w:firstRow="1" w:lastColumn="0" w:lastRow="0" w:noHBand="0" w:noVBand="1" w:val="04A0"/>
      </w:tblPr>
      <w:tblGrid>
        <w:gridCol w:w="10224"/>
      </w:tblGrid>
      <w:tr>
        <w:trPr>
          <w:cantSplit/>
        </w:trPr>
        <w:tc>
          <w:tcPr>
            <w:tcW w:type="dxa" w:w="10224"/>
            <w:shd w:fill="F6F8FA"/>
            <w:tcMar>
              <w:top w:w="140" w:type="dxa"/>
              <w:start w:w="140" w:type="dxa"/>
              <w:bottom w:w="140" w:type="dxa"/>
              <w:end w:w="140" w:type="dxa"/>
            </w:tcMar>
          </w:tcPr>
          <w:p>
            <w:pPr>
              <w:spacing w:after="0"/>
            </w:pPr>
            <w:r>
              <w:rPr>
                <w:rFonts w:ascii="Courier New" w:hAnsi="Courier New" w:eastAsia="Courier New"/>
                <w:sz w:val="17"/>
              </w:rPr>
              <w:t>{</w:t>
              <w:br/>
              <w:t xml:space="preserve">  "internalLinks": [</w:t>
              <w:br/>
              <w:t xml:space="preserve">    {</w:t>
              <w:br/>
              <w:t xml:space="preserve">      "fromPageId": "page_brampton",</w:t>
              <w:br/>
              <w:t xml:space="preserve">      "toPageId": "page_ontario",</w:t>
              <w:br/>
              <w:t xml:space="preserve">      "anchorText": "Ontario Super Visa Insurance options",</w:t>
              <w:br/>
              <w:t xml:space="preserve">      "placement": "body_intro",</w:t>
              <w:br/>
              <w:t xml:space="preserve">      "linkType": "contextual",</w:t>
              <w:br/>
              <w:t xml:space="preserve">      "intent": "cluster_navigation",</w:t>
              <w:br/>
              <w:t xml:space="preserve">      "priority": 80,</w:t>
              <w:br/>
              <w:t xml:space="preserve">      "status": "approved"</w:t>
              <w:br/>
              <w:t xml:space="preserve">    }</w:t>
              <w:br/>
              <w:t xml:space="preserve">  ]</w:t>
              <w:br/>
              <w:t>}</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64E95"/>
            <w:tcMar>
              <w:top w:w="100" w:type="dxa"/>
              <w:start w:w="100" w:type="dxa"/>
              <w:bottom w:w="100" w:type="dxa"/>
              <w:end w:w="100" w:type="dxa"/>
            </w:tcMar>
            <w:vAlign w:val="center"/>
          </w:tcPr>
          <w:p>
            <w:pPr>
              <w:jc w:val="left"/>
            </w:pPr>
            <w:r/>
            <w:r>
              <w:rPr>
                <w:b/>
                <w:color w:val="FFFFFF"/>
                <w:sz w:val="18"/>
              </w:rPr>
              <w:t>Field</w:t>
            </w:r>
          </w:p>
        </w:tc>
        <w:tc>
          <w:tcPr>
            <w:tcW w:type="dxa" w:w="8784"/>
            <w:shd w:fill="164E95"/>
            <w:tcMar>
              <w:top w:w="100" w:type="dxa"/>
              <w:start w:w="100" w:type="dxa"/>
              <w:bottom w:w="100" w:type="dxa"/>
              <w:end w:w="100" w:type="dxa"/>
            </w:tcMar>
            <w:vAlign w:val="center"/>
          </w:tcPr>
          <w:p>
            <w:pPr>
              <w:jc w:val="left"/>
            </w:pPr>
            <w:r/>
            <w:r>
              <w:rPr>
                <w:b/>
                <w:color w:val="FFFFFF"/>
                <w:sz w:val="18"/>
              </w:rPr>
              <w:t>Meaning</w:t>
            </w:r>
          </w:p>
        </w:tc>
      </w:tr>
      <w:tr>
        <w:trPr>
          <w:cantSplit/>
        </w:trPr>
        <w:tc>
          <w:tcPr>
            <w:tcW w:type="dxa" w:w="2304"/>
            <w:tcMar>
              <w:top w:w="90" w:type="dxa"/>
              <w:start w:w="100" w:type="dxa"/>
              <w:bottom w:w="90" w:type="dxa"/>
              <w:end w:w="100" w:type="dxa"/>
            </w:tcMar>
            <w:vAlign w:val="top"/>
            <w:shd w:fill="F8FBFF"/>
          </w:tcPr>
          <w:p>
            <w:pPr>
              <w:jc w:val="left"/>
            </w:pPr>
            <w:r/>
            <w:r>
              <w:rPr>
                <w:b w:val="0"/>
                <w:sz w:val="18"/>
              </w:rPr>
              <w:t>fromPageId</w:t>
            </w:r>
          </w:p>
        </w:tc>
        <w:tc>
          <w:tcPr>
            <w:tcW w:type="dxa" w:w="8784"/>
            <w:tcMar>
              <w:top w:w="90" w:type="dxa"/>
              <w:start w:w="100" w:type="dxa"/>
              <w:bottom w:w="90" w:type="dxa"/>
              <w:end w:w="100" w:type="dxa"/>
            </w:tcMar>
            <w:vAlign w:val="top"/>
            <w:shd w:fill="F8FBFF"/>
          </w:tcPr>
          <w:p>
            <w:pPr>
              <w:jc w:val="left"/>
            </w:pPr>
            <w:r/>
            <w:r>
              <w:rPr>
                <w:b w:val="0"/>
                <w:sz w:val="18"/>
              </w:rPr>
              <w:t>The source page where the link appears.</w:t>
            </w:r>
          </w:p>
        </w:tc>
      </w:tr>
      <w:tr>
        <w:trPr>
          <w:cantSplit/>
        </w:trPr>
        <w:tc>
          <w:tcPr>
            <w:tcW w:type="dxa" w:w="2304"/>
            <w:tcMar>
              <w:top w:w="90" w:type="dxa"/>
              <w:start w:w="100" w:type="dxa"/>
              <w:bottom w:w="90" w:type="dxa"/>
              <w:end w:w="100" w:type="dxa"/>
            </w:tcMar>
            <w:vAlign w:val="top"/>
          </w:tcPr>
          <w:p>
            <w:pPr>
              <w:jc w:val="left"/>
            </w:pPr>
            <w:r/>
            <w:r>
              <w:rPr>
                <w:b w:val="0"/>
                <w:sz w:val="18"/>
              </w:rPr>
              <w:t>toPageId</w:t>
            </w:r>
          </w:p>
        </w:tc>
        <w:tc>
          <w:tcPr>
            <w:tcW w:type="dxa" w:w="8784"/>
            <w:tcMar>
              <w:top w:w="90" w:type="dxa"/>
              <w:start w:w="100" w:type="dxa"/>
              <w:bottom w:w="90" w:type="dxa"/>
              <w:end w:w="100" w:type="dxa"/>
            </w:tcMar>
            <w:vAlign w:val="top"/>
          </w:tcPr>
          <w:p>
            <w:pPr>
              <w:jc w:val="left"/>
            </w:pPr>
            <w:r/>
            <w:r>
              <w:rPr>
                <w:b w:val="0"/>
                <w:sz w:val="18"/>
              </w:rPr>
              <w:t>The destination page.</w:t>
            </w:r>
          </w:p>
        </w:tc>
      </w:tr>
      <w:tr>
        <w:trPr>
          <w:cantSplit/>
        </w:trPr>
        <w:tc>
          <w:tcPr>
            <w:tcW w:type="dxa" w:w="2304"/>
            <w:tcMar>
              <w:top w:w="90" w:type="dxa"/>
              <w:start w:w="100" w:type="dxa"/>
              <w:bottom w:w="90" w:type="dxa"/>
              <w:end w:w="100" w:type="dxa"/>
            </w:tcMar>
            <w:vAlign w:val="top"/>
            <w:shd w:fill="F8FBFF"/>
          </w:tcPr>
          <w:p>
            <w:pPr>
              <w:jc w:val="left"/>
            </w:pPr>
            <w:r/>
            <w:r>
              <w:rPr>
                <w:b w:val="0"/>
                <w:sz w:val="18"/>
              </w:rPr>
              <w:t>anchorText</w:t>
            </w:r>
          </w:p>
        </w:tc>
        <w:tc>
          <w:tcPr>
            <w:tcW w:type="dxa" w:w="8784"/>
            <w:tcMar>
              <w:top w:w="90" w:type="dxa"/>
              <w:start w:w="100" w:type="dxa"/>
              <w:bottom w:w="90" w:type="dxa"/>
              <w:end w:w="100" w:type="dxa"/>
            </w:tcMar>
            <w:vAlign w:val="top"/>
            <w:shd w:fill="F8FBFF"/>
          </w:tcPr>
          <w:p>
            <w:pPr>
              <w:jc w:val="left"/>
            </w:pPr>
            <w:r/>
            <w:r>
              <w:rPr>
                <w:b w:val="0"/>
                <w:sz w:val="18"/>
              </w:rPr>
              <w:t>Visible clickable text.</w:t>
            </w:r>
          </w:p>
        </w:tc>
      </w:tr>
      <w:tr>
        <w:trPr>
          <w:cantSplit/>
        </w:trPr>
        <w:tc>
          <w:tcPr>
            <w:tcW w:type="dxa" w:w="2304"/>
            <w:tcMar>
              <w:top w:w="90" w:type="dxa"/>
              <w:start w:w="100" w:type="dxa"/>
              <w:bottom w:w="90" w:type="dxa"/>
              <w:end w:w="100" w:type="dxa"/>
            </w:tcMar>
            <w:vAlign w:val="top"/>
          </w:tcPr>
          <w:p>
            <w:pPr>
              <w:jc w:val="left"/>
            </w:pPr>
            <w:r/>
            <w:r>
              <w:rPr>
                <w:b w:val="0"/>
                <w:sz w:val="18"/>
              </w:rPr>
              <w:t>placement</w:t>
            </w:r>
          </w:p>
        </w:tc>
        <w:tc>
          <w:tcPr>
            <w:tcW w:type="dxa" w:w="8784"/>
            <w:tcMar>
              <w:top w:w="90" w:type="dxa"/>
              <w:start w:w="100" w:type="dxa"/>
              <w:bottom w:w="90" w:type="dxa"/>
              <w:end w:w="100" w:type="dxa"/>
            </w:tcMar>
            <w:vAlign w:val="top"/>
          </w:tcPr>
          <w:p>
            <w:pPr>
              <w:jc w:val="left"/>
            </w:pPr>
            <w:r/>
            <w:r>
              <w:rPr>
                <w:b w:val="0"/>
                <w:sz w:val="18"/>
              </w:rPr>
              <w:t>Where the link appears: body_intro, related_pages, breadcrumb, service_area, CTA, footer, FAQ, etc.</w:t>
            </w:r>
          </w:p>
        </w:tc>
      </w:tr>
      <w:tr>
        <w:trPr>
          <w:cantSplit/>
        </w:trPr>
        <w:tc>
          <w:tcPr>
            <w:tcW w:type="dxa" w:w="2304"/>
            <w:tcMar>
              <w:top w:w="90" w:type="dxa"/>
              <w:start w:w="100" w:type="dxa"/>
              <w:bottom w:w="90" w:type="dxa"/>
              <w:end w:w="100" w:type="dxa"/>
            </w:tcMar>
            <w:vAlign w:val="top"/>
            <w:shd w:fill="F8FBFF"/>
          </w:tcPr>
          <w:p>
            <w:pPr>
              <w:jc w:val="left"/>
            </w:pPr>
            <w:r/>
            <w:r>
              <w:rPr>
                <w:b w:val="0"/>
                <w:sz w:val="18"/>
              </w:rPr>
              <w:t>linkType</w:t>
            </w:r>
          </w:p>
        </w:tc>
        <w:tc>
          <w:tcPr>
            <w:tcW w:type="dxa" w:w="8784"/>
            <w:tcMar>
              <w:top w:w="90" w:type="dxa"/>
              <w:start w:w="100" w:type="dxa"/>
              <w:bottom w:w="90" w:type="dxa"/>
              <w:end w:w="100" w:type="dxa"/>
            </w:tcMar>
            <w:vAlign w:val="top"/>
            <w:shd w:fill="F8FBFF"/>
          </w:tcPr>
          <w:p>
            <w:pPr>
              <w:jc w:val="left"/>
            </w:pPr>
            <w:r/>
            <w:r>
              <w:rPr>
                <w:b w:val="0"/>
                <w:sz w:val="18"/>
              </w:rPr>
              <w:t>contextual, navigational, breadcrumb, CTA, related, footer, card, menu.</w:t>
            </w:r>
          </w:p>
        </w:tc>
      </w:tr>
      <w:tr>
        <w:trPr>
          <w:cantSplit/>
        </w:trPr>
        <w:tc>
          <w:tcPr>
            <w:tcW w:type="dxa" w:w="2304"/>
            <w:tcMar>
              <w:top w:w="90" w:type="dxa"/>
              <w:start w:w="100" w:type="dxa"/>
              <w:bottom w:w="90" w:type="dxa"/>
              <w:end w:w="100" w:type="dxa"/>
            </w:tcMar>
            <w:vAlign w:val="top"/>
          </w:tcPr>
          <w:p>
            <w:pPr>
              <w:jc w:val="left"/>
            </w:pPr>
            <w:r/>
            <w:r>
              <w:rPr>
                <w:b w:val="0"/>
                <w:sz w:val="18"/>
              </w:rPr>
              <w:t>intent</w:t>
            </w:r>
          </w:p>
        </w:tc>
        <w:tc>
          <w:tcPr>
            <w:tcW w:type="dxa" w:w="8784"/>
            <w:tcMar>
              <w:top w:w="90" w:type="dxa"/>
              <w:start w:w="100" w:type="dxa"/>
              <w:bottom w:w="90" w:type="dxa"/>
              <w:end w:w="100" w:type="dxa"/>
            </w:tcMar>
            <w:vAlign w:val="top"/>
          </w:tcPr>
          <w:p>
            <w:pPr>
              <w:jc w:val="left"/>
            </w:pPr>
            <w:r/>
            <w:r>
              <w:rPr>
                <w:b w:val="0"/>
                <w:sz w:val="18"/>
              </w:rPr>
              <w:t>Why the link exists: cluster_navigation, conversion, support_content, parent_child, nearby_location.</w:t>
            </w:r>
          </w:p>
        </w:tc>
      </w:tr>
      <w:tr>
        <w:trPr>
          <w:cantSplit/>
        </w:trPr>
        <w:tc>
          <w:tcPr>
            <w:tcW w:type="dxa" w:w="2304"/>
            <w:tcMar>
              <w:top w:w="90" w:type="dxa"/>
              <w:start w:w="100" w:type="dxa"/>
              <w:bottom w:w="90" w:type="dxa"/>
              <w:end w:w="100" w:type="dxa"/>
            </w:tcMar>
            <w:vAlign w:val="top"/>
            <w:shd w:fill="F8FBFF"/>
          </w:tcPr>
          <w:p>
            <w:pPr>
              <w:jc w:val="left"/>
            </w:pPr>
            <w:r/>
            <w:r>
              <w:rPr>
                <w:b w:val="0"/>
                <w:sz w:val="18"/>
              </w:rPr>
              <w:t>priority</w:t>
            </w:r>
          </w:p>
        </w:tc>
        <w:tc>
          <w:tcPr>
            <w:tcW w:type="dxa" w:w="8784"/>
            <w:tcMar>
              <w:top w:w="90" w:type="dxa"/>
              <w:start w:w="100" w:type="dxa"/>
              <w:bottom w:w="90" w:type="dxa"/>
              <w:end w:w="100" w:type="dxa"/>
            </w:tcMar>
            <w:vAlign w:val="top"/>
            <w:shd w:fill="F8FBFF"/>
          </w:tcPr>
          <w:p>
            <w:pPr>
              <w:jc w:val="left"/>
            </w:pPr>
            <w:r/>
            <w:r>
              <w:rPr>
                <w:b w:val="0"/>
                <w:sz w:val="18"/>
              </w:rPr>
              <w:t>Ranking value for which links should appear when space is limited.</w:t>
            </w:r>
          </w:p>
        </w:tc>
      </w:tr>
      <w:tr>
        <w:trPr>
          <w:cantSplit/>
        </w:trPr>
        <w:tc>
          <w:tcPr>
            <w:tcW w:type="dxa" w:w="2304"/>
            <w:tcMar>
              <w:top w:w="90" w:type="dxa"/>
              <w:start w:w="100" w:type="dxa"/>
              <w:bottom w:w="90" w:type="dxa"/>
              <w:end w:w="100" w:type="dxa"/>
            </w:tcMar>
            <w:vAlign w:val="top"/>
          </w:tcPr>
          <w:p>
            <w:pPr>
              <w:jc w:val="left"/>
            </w:pPr>
            <w:r/>
            <w:r>
              <w:rPr>
                <w:b w:val="0"/>
                <w:sz w:val="18"/>
              </w:rPr>
              <w:t>status</w:t>
            </w:r>
          </w:p>
        </w:tc>
        <w:tc>
          <w:tcPr>
            <w:tcW w:type="dxa" w:w="8784"/>
            <w:tcMar>
              <w:top w:w="90" w:type="dxa"/>
              <w:start w:w="100" w:type="dxa"/>
              <w:bottom w:w="90" w:type="dxa"/>
              <w:end w:w="100" w:type="dxa"/>
            </w:tcMar>
            <w:vAlign w:val="top"/>
          </w:tcPr>
          <w:p>
            <w:pPr>
              <w:jc w:val="left"/>
            </w:pPr>
            <w:r/>
            <w:r>
              <w:rPr>
                <w:b w:val="0"/>
                <w:sz w:val="18"/>
              </w:rPr>
              <w:t>draft, generated, approved, removed, blocked_by_validation.</w:t>
            </w:r>
          </w:p>
        </w:tc>
      </w:tr>
    </w:tbl>
    <w:p/>
    <w:p>
      <w:pPr>
        <w:pStyle w:val="Heading1"/>
        <w:pBdr>
          <w:bottom w:val="single" w:sz="8" w:space="1" w:color="D9E2F3"/>
        </w:pBdr>
      </w:pPr>
      <w:r>
        <w:t>9. AI Generation Rules for Internal Links</w:t>
      </w:r>
    </w:p>
    <w:p>
      <w:pPr>
        <w:pStyle w:val="ListBullet"/>
        <w:spacing w:after="40"/>
      </w:pPr>
      <w:r>
        <w:t>Generate page architecture first, then generate internal links. Do not create links before page intent and slug are finalized.</w:t>
      </w:r>
    </w:p>
    <w:p>
      <w:pPr>
        <w:pStyle w:val="ListBullet"/>
        <w:spacing w:after="40"/>
      </w:pPr>
      <w:r>
        <w:t>Use the keyword-location matrix to determine parent, child, sibling, and support relationships.</w:t>
      </w:r>
    </w:p>
    <w:p>
      <w:pPr>
        <w:pStyle w:val="ListBullet"/>
        <w:spacing w:after="40"/>
      </w:pPr>
      <w:r>
        <w:t>Prefer links between pages with related intent rather than unrelated global linking.</w:t>
      </w:r>
    </w:p>
    <w:p>
      <w:pPr>
        <w:pStyle w:val="ListBullet"/>
        <w:spacing w:after="40"/>
      </w:pPr>
      <w:r>
        <w:t>Generate links section-by-section so every link has a clear placement and purpose.</w:t>
      </w:r>
    </w:p>
    <w:p>
      <w:pPr>
        <w:pStyle w:val="ListBullet"/>
        <w:spacing w:after="40"/>
      </w:pPr>
      <w:r>
        <w:t>Keep links editable in the visual editor through a Website Model adapter.</w:t>
      </w:r>
    </w:p>
    <w:p>
      <w:pPr>
        <w:pStyle w:val="ListBullet"/>
        <w:spacing w:after="40"/>
      </w:pPr>
      <w:r>
        <w:t>When a page is regenerated, preserve approved links unless the destination page no longer exists or validation fails.</w:t>
      </w:r>
    </w:p>
    <w:p>
      <w:pPr>
        <w:pStyle w:val="ListBullet"/>
        <w:spacing w:after="40"/>
      </w:pPr>
      <w:r>
        <w:t>When a slug changes, update all internal link records before publishing.</w:t>
      </w:r>
    </w:p>
    <w:p>
      <w:pPr>
        <w:pStyle w:val="ListBullet"/>
        <w:spacing w:after="40"/>
      </w:pPr>
      <w:r>
        <w:t>When a page is removed, flag all incoming and outgoing links for review.</w:t>
      </w:r>
    </w:p>
    <w:p>
      <w:r>
        <w:br w:type="page"/>
      </w:r>
    </w:p>
    <w:p>
      <w:pPr>
        <w:pStyle w:val="Heading1"/>
        <w:pBdr>
          <w:bottom w:val="single" w:sz="8" w:space="1" w:color="D9E2F3"/>
        </w:pBdr>
      </w:pPr>
      <w:r>
        <w:t>10. Validation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64E95"/>
            <w:tcMar>
              <w:top w:w="100" w:type="dxa"/>
              <w:start w:w="100" w:type="dxa"/>
              <w:bottom w:w="100" w:type="dxa"/>
              <w:end w:w="100" w:type="dxa"/>
            </w:tcMar>
            <w:vAlign w:val="center"/>
          </w:tcPr>
          <w:p>
            <w:pPr>
              <w:jc w:val="left"/>
            </w:pPr>
            <w:r/>
            <w:r>
              <w:rPr>
                <w:b/>
                <w:color w:val="FFFFFF"/>
                <w:sz w:val="18"/>
              </w:rPr>
              <w:t>Validation Check</w:t>
            </w:r>
          </w:p>
        </w:tc>
        <w:tc>
          <w:tcPr>
            <w:tcW w:type="dxa" w:w="1584"/>
            <w:shd w:fill="164E95"/>
            <w:tcMar>
              <w:top w:w="100" w:type="dxa"/>
              <w:start w:w="100" w:type="dxa"/>
              <w:bottom w:w="100" w:type="dxa"/>
              <w:end w:w="100" w:type="dxa"/>
            </w:tcMar>
            <w:vAlign w:val="center"/>
          </w:tcPr>
          <w:p>
            <w:pPr>
              <w:jc w:val="left"/>
            </w:pPr>
            <w:r/>
            <w:r>
              <w:rPr>
                <w:b/>
                <w:color w:val="FFFFFF"/>
                <w:sz w:val="18"/>
              </w:rPr>
              <w:t>Blocking?</w:t>
            </w:r>
          </w:p>
        </w:tc>
        <w:tc>
          <w:tcPr>
            <w:tcW w:type="dxa" w:w="6624"/>
            <w:shd w:fill="164E95"/>
            <w:tcMar>
              <w:top w:w="100" w:type="dxa"/>
              <w:start w:w="100" w:type="dxa"/>
              <w:bottom w:w="100" w:type="dxa"/>
              <w:end w:w="100" w:type="dxa"/>
            </w:tcMar>
            <w:vAlign w:val="center"/>
          </w:tcPr>
          <w:p>
            <w:pPr>
              <w:jc w:val="left"/>
            </w:pPr>
            <w:r/>
            <w:r>
              <w:rPr>
                <w:b/>
                <w:color w:val="FFFFFF"/>
                <w:sz w:val="18"/>
              </w:rPr>
              <w:t>Description</w:t>
            </w:r>
          </w:p>
        </w:tc>
      </w:tr>
      <w:tr>
        <w:trPr>
          <w:cantSplit/>
        </w:trPr>
        <w:tc>
          <w:tcPr>
            <w:tcW w:type="dxa" w:w="2880"/>
            <w:tcMar>
              <w:top w:w="90" w:type="dxa"/>
              <w:start w:w="100" w:type="dxa"/>
              <w:bottom w:w="90" w:type="dxa"/>
              <w:end w:w="100" w:type="dxa"/>
            </w:tcMar>
            <w:vAlign w:val="top"/>
            <w:shd w:fill="F8FBFF"/>
          </w:tcPr>
          <w:p>
            <w:pPr>
              <w:jc w:val="left"/>
            </w:pPr>
            <w:r/>
            <w:r>
              <w:rPr>
                <w:b w:val="0"/>
                <w:sz w:val="18"/>
              </w:rPr>
              <w:t>Broken internal links</w:t>
            </w:r>
          </w:p>
        </w:tc>
        <w:tc>
          <w:tcPr>
            <w:tcW w:type="dxa" w:w="1584"/>
            <w:tcMar>
              <w:top w:w="90" w:type="dxa"/>
              <w:start w:w="100" w:type="dxa"/>
              <w:bottom w:w="90" w:type="dxa"/>
              <w:end w:w="100" w:type="dxa"/>
            </w:tcMar>
            <w:vAlign w:val="top"/>
            <w:shd w:fill="F8FBFF"/>
          </w:tcPr>
          <w:p>
            <w:pPr>
              <w:jc w:val="left"/>
            </w:pPr>
            <w:r/>
            <w:r>
              <w:rPr>
                <w:b w:val="0"/>
                <w:sz w:val="18"/>
              </w:rPr>
              <w:t>Yes</w:t>
            </w:r>
          </w:p>
        </w:tc>
        <w:tc>
          <w:tcPr>
            <w:tcW w:type="dxa" w:w="6624"/>
            <w:tcMar>
              <w:top w:w="90" w:type="dxa"/>
              <w:start w:w="100" w:type="dxa"/>
              <w:bottom w:w="90" w:type="dxa"/>
              <w:end w:w="100" w:type="dxa"/>
            </w:tcMar>
            <w:vAlign w:val="top"/>
            <w:shd w:fill="F8FBFF"/>
          </w:tcPr>
          <w:p>
            <w:pPr>
              <w:jc w:val="left"/>
            </w:pPr>
            <w:r/>
            <w:r>
              <w:rPr>
                <w:b w:val="0"/>
                <w:sz w:val="18"/>
              </w:rPr>
              <w:t>No published release may contain links to missing or invalid pages.</w:t>
            </w:r>
          </w:p>
        </w:tc>
      </w:tr>
      <w:tr>
        <w:trPr>
          <w:cantSplit/>
        </w:trPr>
        <w:tc>
          <w:tcPr>
            <w:tcW w:type="dxa" w:w="2880"/>
            <w:tcMar>
              <w:top w:w="90" w:type="dxa"/>
              <w:start w:w="100" w:type="dxa"/>
              <w:bottom w:w="90" w:type="dxa"/>
              <w:end w:w="100" w:type="dxa"/>
            </w:tcMar>
            <w:vAlign w:val="top"/>
          </w:tcPr>
          <w:p>
            <w:pPr>
              <w:jc w:val="left"/>
            </w:pPr>
            <w:r/>
            <w:r>
              <w:rPr>
                <w:b w:val="0"/>
                <w:sz w:val="18"/>
              </w:rPr>
              <w:t>Orphan indexable pages</w:t>
            </w:r>
          </w:p>
        </w:tc>
        <w:tc>
          <w:tcPr>
            <w:tcW w:type="dxa" w:w="1584"/>
            <w:tcMar>
              <w:top w:w="90" w:type="dxa"/>
              <w:start w:w="100" w:type="dxa"/>
              <w:bottom w:w="90" w:type="dxa"/>
              <w:end w:w="100" w:type="dxa"/>
            </w:tcMar>
            <w:vAlign w:val="top"/>
          </w:tcPr>
          <w:p>
            <w:pPr>
              <w:jc w:val="left"/>
            </w:pPr>
            <w:r/>
            <w:r>
              <w:rPr>
                <w:b w:val="0"/>
                <w:sz w:val="18"/>
              </w:rPr>
              <w:t>Yes</w:t>
            </w:r>
          </w:p>
        </w:tc>
        <w:tc>
          <w:tcPr>
            <w:tcW w:type="dxa" w:w="6624"/>
            <w:tcMar>
              <w:top w:w="90" w:type="dxa"/>
              <w:start w:w="100" w:type="dxa"/>
              <w:bottom w:w="90" w:type="dxa"/>
              <w:end w:w="100" w:type="dxa"/>
            </w:tcMar>
            <w:vAlign w:val="top"/>
          </w:tcPr>
          <w:p>
            <w:pPr>
              <w:jc w:val="left"/>
            </w:pPr>
            <w:r/>
            <w:r>
              <w:rPr>
                <w:b w:val="0"/>
                <w:sz w:val="18"/>
              </w:rPr>
              <w:t>Every indexable page must be linked from another relevant page.</w:t>
            </w:r>
          </w:p>
        </w:tc>
      </w:tr>
      <w:tr>
        <w:trPr>
          <w:cantSplit/>
        </w:trPr>
        <w:tc>
          <w:tcPr>
            <w:tcW w:type="dxa" w:w="2880"/>
            <w:tcMar>
              <w:top w:w="90" w:type="dxa"/>
              <w:start w:w="100" w:type="dxa"/>
              <w:bottom w:w="90" w:type="dxa"/>
              <w:end w:w="100" w:type="dxa"/>
            </w:tcMar>
            <w:vAlign w:val="top"/>
            <w:shd w:fill="F8FBFF"/>
          </w:tcPr>
          <w:p>
            <w:pPr>
              <w:jc w:val="left"/>
            </w:pPr>
            <w:r/>
            <w:r>
              <w:rPr>
                <w:b w:val="0"/>
                <w:sz w:val="18"/>
              </w:rPr>
              <w:t>Self-links</w:t>
            </w:r>
          </w:p>
        </w:tc>
        <w:tc>
          <w:tcPr>
            <w:tcW w:type="dxa" w:w="1584"/>
            <w:tcMar>
              <w:top w:w="90" w:type="dxa"/>
              <w:start w:w="100" w:type="dxa"/>
              <w:bottom w:w="90" w:type="dxa"/>
              <w:end w:w="100" w:type="dxa"/>
            </w:tcMar>
            <w:vAlign w:val="top"/>
            <w:shd w:fill="F8FBFF"/>
          </w:tcPr>
          <w:p>
            <w:pPr>
              <w:jc w:val="left"/>
            </w:pPr>
            <w:r/>
            <w:r>
              <w:rPr>
                <w:b w:val="0"/>
                <w:sz w:val="18"/>
              </w:rPr>
              <w:t>Usually</w:t>
            </w:r>
          </w:p>
        </w:tc>
        <w:tc>
          <w:tcPr>
            <w:tcW w:type="dxa" w:w="6624"/>
            <w:tcMar>
              <w:top w:w="90" w:type="dxa"/>
              <w:start w:w="100" w:type="dxa"/>
              <w:bottom w:w="90" w:type="dxa"/>
              <w:end w:w="100" w:type="dxa"/>
            </w:tcMar>
            <w:vAlign w:val="top"/>
            <w:shd w:fill="F8FBFF"/>
          </w:tcPr>
          <w:p>
            <w:pPr>
              <w:jc w:val="left"/>
            </w:pPr>
            <w:r/>
            <w:r>
              <w:rPr>
                <w:b w:val="0"/>
                <w:sz w:val="18"/>
              </w:rPr>
              <w:t>A page should not link to itself in contextual content. Breadcrumb current item can be non-clickable.</w:t>
            </w:r>
          </w:p>
        </w:tc>
      </w:tr>
      <w:tr>
        <w:trPr>
          <w:cantSplit/>
        </w:trPr>
        <w:tc>
          <w:tcPr>
            <w:tcW w:type="dxa" w:w="2880"/>
            <w:tcMar>
              <w:top w:w="90" w:type="dxa"/>
              <w:start w:w="100" w:type="dxa"/>
              <w:bottom w:w="90" w:type="dxa"/>
              <w:end w:w="100" w:type="dxa"/>
            </w:tcMar>
            <w:vAlign w:val="top"/>
          </w:tcPr>
          <w:p>
            <w:pPr>
              <w:jc w:val="left"/>
            </w:pPr>
            <w:r/>
            <w:r>
              <w:rPr>
                <w:b w:val="0"/>
                <w:sz w:val="18"/>
              </w:rPr>
              <w:t>Duplicate anchor overuse</w:t>
            </w:r>
          </w:p>
        </w:tc>
        <w:tc>
          <w:tcPr>
            <w:tcW w:type="dxa" w:w="1584"/>
            <w:tcMar>
              <w:top w:w="90" w:type="dxa"/>
              <w:start w:w="100" w:type="dxa"/>
              <w:bottom w:w="90" w:type="dxa"/>
              <w:end w:w="100" w:type="dxa"/>
            </w:tcMar>
            <w:vAlign w:val="top"/>
          </w:tcPr>
          <w:p>
            <w:pPr>
              <w:jc w:val="left"/>
            </w:pPr>
            <w:r/>
            <w:r>
              <w:rPr>
                <w:b w:val="0"/>
                <w:sz w:val="18"/>
              </w:rPr>
              <w:t>Warning</w:t>
            </w:r>
          </w:p>
        </w:tc>
        <w:tc>
          <w:tcPr>
            <w:tcW w:type="dxa" w:w="6624"/>
            <w:tcMar>
              <w:top w:w="90" w:type="dxa"/>
              <w:start w:w="100" w:type="dxa"/>
              <w:bottom w:w="90" w:type="dxa"/>
              <w:end w:w="100" w:type="dxa"/>
            </w:tcMar>
            <w:vAlign w:val="top"/>
          </w:tcPr>
          <w:p>
            <w:pPr>
              <w:jc w:val="left"/>
            </w:pPr>
            <w:r/>
            <w:r>
              <w:rPr>
                <w:b w:val="0"/>
                <w:sz w:val="18"/>
              </w:rPr>
              <w:t>Repeated exact-match anchors across many pages should be reduced.</w:t>
            </w:r>
          </w:p>
        </w:tc>
      </w:tr>
      <w:tr>
        <w:trPr>
          <w:cantSplit/>
        </w:trPr>
        <w:tc>
          <w:tcPr>
            <w:tcW w:type="dxa" w:w="2880"/>
            <w:tcMar>
              <w:top w:w="90" w:type="dxa"/>
              <w:start w:w="100" w:type="dxa"/>
              <w:bottom w:w="90" w:type="dxa"/>
              <w:end w:w="100" w:type="dxa"/>
            </w:tcMar>
            <w:vAlign w:val="top"/>
            <w:shd w:fill="F8FBFF"/>
          </w:tcPr>
          <w:p>
            <w:pPr>
              <w:jc w:val="left"/>
            </w:pPr>
            <w:r/>
            <w:r>
              <w:rPr>
                <w:b w:val="0"/>
                <w:sz w:val="18"/>
              </w:rPr>
              <w:t>Cannibalization conflict</w:t>
            </w:r>
          </w:p>
        </w:tc>
        <w:tc>
          <w:tcPr>
            <w:tcW w:type="dxa" w:w="1584"/>
            <w:tcMar>
              <w:top w:w="90" w:type="dxa"/>
              <w:start w:w="100" w:type="dxa"/>
              <w:bottom w:w="90" w:type="dxa"/>
              <w:end w:w="100" w:type="dxa"/>
            </w:tcMar>
            <w:vAlign w:val="top"/>
            <w:shd w:fill="F8FBFF"/>
          </w:tcPr>
          <w:p>
            <w:pPr>
              <w:jc w:val="left"/>
            </w:pPr>
            <w:r/>
            <w:r>
              <w:rPr>
                <w:b w:val="0"/>
                <w:sz w:val="18"/>
              </w:rPr>
              <w:t>Warning/Block</w:t>
            </w:r>
          </w:p>
        </w:tc>
        <w:tc>
          <w:tcPr>
            <w:tcW w:type="dxa" w:w="6624"/>
            <w:tcMar>
              <w:top w:w="90" w:type="dxa"/>
              <w:start w:w="100" w:type="dxa"/>
              <w:bottom w:w="90" w:type="dxa"/>
              <w:end w:w="100" w:type="dxa"/>
            </w:tcMar>
            <w:vAlign w:val="top"/>
            <w:shd w:fill="F8FBFF"/>
          </w:tcPr>
          <w:p>
            <w:pPr>
              <w:jc w:val="left"/>
            </w:pPr>
            <w:r/>
            <w:r>
              <w:rPr>
                <w:b w:val="0"/>
                <w:sz w:val="18"/>
              </w:rPr>
              <w:t>Two pages targeting the same primary keyword must be reviewed.</w:t>
            </w:r>
          </w:p>
        </w:tc>
      </w:tr>
      <w:tr>
        <w:trPr>
          <w:cantSplit/>
        </w:trPr>
        <w:tc>
          <w:tcPr>
            <w:tcW w:type="dxa" w:w="2880"/>
            <w:tcMar>
              <w:top w:w="90" w:type="dxa"/>
              <w:start w:w="100" w:type="dxa"/>
              <w:bottom w:w="90" w:type="dxa"/>
              <w:end w:w="100" w:type="dxa"/>
            </w:tcMar>
            <w:vAlign w:val="top"/>
          </w:tcPr>
          <w:p>
            <w:pPr>
              <w:jc w:val="left"/>
            </w:pPr>
            <w:r/>
            <w:r>
              <w:rPr>
                <w:b w:val="0"/>
                <w:sz w:val="18"/>
              </w:rPr>
              <w:t>Unapproved destination</w:t>
            </w:r>
          </w:p>
        </w:tc>
        <w:tc>
          <w:tcPr>
            <w:tcW w:type="dxa" w:w="1584"/>
            <w:tcMar>
              <w:top w:w="90" w:type="dxa"/>
              <w:start w:w="100" w:type="dxa"/>
              <w:bottom w:w="90" w:type="dxa"/>
              <w:end w:w="100" w:type="dxa"/>
            </w:tcMar>
            <w:vAlign w:val="top"/>
          </w:tcPr>
          <w:p>
            <w:pPr>
              <w:jc w:val="left"/>
            </w:pPr>
            <w:r/>
            <w:r>
              <w:rPr>
                <w:b w:val="0"/>
                <w:sz w:val="18"/>
              </w:rPr>
              <w:t>Yes</w:t>
            </w:r>
          </w:p>
        </w:tc>
        <w:tc>
          <w:tcPr>
            <w:tcW w:type="dxa" w:w="6624"/>
            <w:tcMar>
              <w:top w:w="90" w:type="dxa"/>
              <w:start w:w="100" w:type="dxa"/>
              <w:bottom w:w="90" w:type="dxa"/>
              <w:end w:w="100" w:type="dxa"/>
            </w:tcMar>
            <w:vAlign w:val="top"/>
          </w:tcPr>
          <w:p>
            <w:pPr>
              <w:jc w:val="left"/>
            </w:pPr>
            <w:r/>
            <w:r>
              <w:rPr>
                <w:b w:val="0"/>
                <w:sz w:val="18"/>
              </w:rPr>
              <w:t>Draft/unapproved pages should not be linked from approved public releases unless hidden.</w:t>
            </w:r>
          </w:p>
        </w:tc>
      </w:tr>
      <w:tr>
        <w:trPr>
          <w:cantSplit/>
        </w:trPr>
        <w:tc>
          <w:tcPr>
            <w:tcW w:type="dxa" w:w="2880"/>
            <w:tcMar>
              <w:top w:w="90" w:type="dxa"/>
              <w:start w:w="100" w:type="dxa"/>
              <w:bottom w:w="90" w:type="dxa"/>
              <w:end w:w="100" w:type="dxa"/>
            </w:tcMar>
            <w:vAlign w:val="top"/>
            <w:shd w:fill="F8FBFF"/>
          </w:tcPr>
          <w:p>
            <w:pPr>
              <w:jc w:val="left"/>
            </w:pPr>
            <w:r/>
            <w:r>
              <w:rPr>
                <w:b w:val="0"/>
                <w:sz w:val="18"/>
              </w:rPr>
              <w:t>Excessive footer links</w:t>
            </w:r>
          </w:p>
        </w:tc>
        <w:tc>
          <w:tcPr>
            <w:tcW w:type="dxa" w:w="1584"/>
            <w:tcMar>
              <w:top w:w="90" w:type="dxa"/>
              <w:start w:w="100" w:type="dxa"/>
              <w:bottom w:w="90" w:type="dxa"/>
              <w:end w:w="100" w:type="dxa"/>
            </w:tcMar>
            <w:vAlign w:val="top"/>
            <w:shd w:fill="F8FBFF"/>
          </w:tcPr>
          <w:p>
            <w:pPr>
              <w:jc w:val="left"/>
            </w:pPr>
            <w:r/>
            <w:r>
              <w:rPr>
                <w:b w:val="0"/>
                <w:sz w:val="18"/>
              </w:rPr>
              <w:t>Warning</w:t>
            </w:r>
          </w:p>
        </w:tc>
        <w:tc>
          <w:tcPr>
            <w:tcW w:type="dxa" w:w="6624"/>
            <w:tcMar>
              <w:top w:w="90" w:type="dxa"/>
              <w:start w:w="100" w:type="dxa"/>
              <w:bottom w:w="90" w:type="dxa"/>
              <w:end w:w="100" w:type="dxa"/>
            </w:tcMar>
            <w:vAlign w:val="top"/>
            <w:shd w:fill="F8FBFF"/>
          </w:tcPr>
          <w:p>
            <w:pPr>
              <w:jc w:val="left"/>
            </w:pPr>
            <w:r/>
            <w:r>
              <w:rPr>
                <w:b w:val="0"/>
                <w:sz w:val="18"/>
              </w:rPr>
              <w:t>Do not use footer link stuffing as a replacement for contextual linking.</w:t>
            </w:r>
          </w:p>
        </w:tc>
      </w:tr>
      <w:tr>
        <w:trPr>
          <w:cantSplit/>
        </w:trPr>
        <w:tc>
          <w:tcPr>
            <w:tcW w:type="dxa" w:w="2880"/>
            <w:tcMar>
              <w:top w:w="90" w:type="dxa"/>
              <w:start w:w="100" w:type="dxa"/>
              <w:bottom w:w="90" w:type="dxa"/>
              <w:end w:w="100" w:type="dxa"/>
            </w:tcMar>
            <w:vAlign w:val="top"/>
          </w:tcPr>
          <w:p>
            <w:pPr>
              <w:jc w:val="left"/>
            </w:pPr>
            <w:r/>
            <w:r>
              <w:rPr>
                <w:b w:val="0"/>
                <w:sz w:val="18"/>
              </w:rPr>
              <w:t>Missing hub links</w:t>
            </w:r>
          </w:p>
        </w:tc>
        <w:tc>
          <w:tcPr>
            <w:tcW w:type="dxa" w:w="1584"/>
            <w:tcMar>
              <w:top w:w="90" w:type="dxa"/>
              <w:start w:w="100" w:type="dxa"/>
              <w:bottom w:w="90" w:type="dxa"/>
              <w:end w:w="100" w:type="dxa"/>
            </w:tcMar>
            <w:vAlign w:val="top"/>
          </w:tcPr>
          <w:p>
            <w:pPr>
              <w:jc w:val="left"/>
            </w:pPr>
            <w:r/>
            <w:r>
              <w:rPr>
                <w:b w:val="0"/>
                <w:sz w:val="18"/>
              </w:rPr>
              <w:t>Warning/Block</w:t>
            </w:r>
          </w:p>
        </w:tc>
        <w:tc>
          <w:tcPr>
            <w:tcW w:type="dxa" w:w="6624"/>
            <w:tcMar>
              <w:top w:w="90" w:type="dxa"/>
              <w:start w:w="100" w:type="dxa"/>
              <w:bottom w:w="90" w:type="dxa"/>
              <w:end w:w="100" w:type="dxa"/>
            </w:tcMar>
            <w:vAlign w:val="top"/>
          </w:tcPr>
          <w:p>
            <w:pPr>
              <w:jc w:val="left"/>
            </w:pPr>
            <w:r/>
            <w:r>
              <w:rPr>
                <w:b w:val="0"/>
                <w:sz w:val="18"/>
              </w:rPr>
              <w:t>City clusters should have hub-to-city and city-to-hub links.</w:t>
            </w:r>
          </w:p>
        </w:tc>
      </w:tr>
      <w:tr>
        <w:trPr>
          <w:cantSplit/>
        </w:trPr>
        <w:tc>
          <w:tcPr>
            <w:tcW w:type="dxa" w:w="2880"/>
            <w:tcMar>
              <w:top w:w="90" w:type="dxa"/>
              <w:start w:w="100" w:type="dxa"/>
              <w:bottom w:w="90" w:type="dxa"/>
              <w:end w:w="100" w:type="dxa"/>
            </w:tcMar>
            <w:vAlign w:val="top"/>
            <w:shd w:fill="F8FBFF"/>
          </w:tcPr>
          <w:p>
            <w:pPr>
              <w:jc w:val="left"/>
            </w:pPr>
            <w:r/>
            <w:r>
              <w:rPr>
                <w:b w:val="0"/>
                <w:sz w:val="18"/>
              </w:rPr>
              <w:t>Invalid external URL in internal field</w:t>
            </w:r>
          </w:p>
        </w:tc>
        <w:tc>
          <w:tcPr>
            <w:tcW w:type="dxa" w:w="1584"/>
            <w:tcMar>
              <w:top w:w="90" w:type="dxa"/>
              <w:start w:w="100" w:type="dxa"/>
              <w:bottom w:w="90" w:type="dxa"/>
              <w:end w:w="100" w:type="dxa"/>
            </w:tcMar>
            <w:vAlign w:val="top"/>
            <w:shd w:fill="F8FBFF"/>
          </w:tcPr>
          <w:p>
            <w:pPr>
              <w:jc w:val="left"/>
            </w:pPr>
            <w:r/>
            <w:r>
              <w:rPr>
                <w:b w:val="0"/>
                <w:sz w:val="18"/>
              </w:rPr>
              <w:t>Yes</w:t>
            </w:r>
          </w:p>
        </w:tc>
        <w:tc>
          <w:tcPr>
            <w:tcW w:type="dxa" w:w="6624"/>
            <w:tcMar>
              <w:top w:w="90" w:type="dxa"/>
              <w:start w:w="100" w:type="dxa"/>
              <w:bottom w:w="90" w:type="dxa"/>
              <w:end w:w="100" w:type="dxa"/>
            </w:tcMar>
            <w:vAlign w:val="top"/>
            <w:shd w:fill="F8FBFF"/>
          </w:tcPr>
          <w:p>
            <w:pPr>
              <w:jc w:val="left"/>
            </w:pPr>
            <w:r/>
            <w:r>
              <w:rPr>
                <w:b w:val="0"/>
                <w:sz w:val="18"/>
              </w:rPr>
              <w:t>Internal link records must point to internal page IDs, not arbitrary external URLs.</w:t>
            </w:r>
          </w:p>
        </w:tc>
      </w:tr>
    </w:tbl>
    <w:p/>
    <w:p>
      <w:pPr>
        <w:pStyle w:val="Heading1"/>
        <w:pBdr>
          <w:bottom w:val="single" w:sz="8" w:space="1" w:color="D9E2F3"/>
        </w:pBdr>
      </w:pPr>
      <w:r>
        <w:t>11. WordPress and Static HTML Rendering</w:t>
      </w:r>
    </w:p>
    <w:p>
      <w:pPr>
        <w:pStyle w:val="Heading2"/>
      </w:pPr>
      <w:r>
        <w:t>WordPress Renderer</w:t>
      </w:r>
    </w:p>
    <w:p>
      <w:pPr>
        <w:pStyle w:val="ListBullet"/>
        <w:spacing w:after="40"/>
      </w:pPr>
      <w:r>
        <w:t>Convert internal link records to WordPress page URLs or block attributes after remote page IDs are known.</w:t>
      </w:r>
    </w:p>
    <w:p>
      <w:pPr>
        <w:pStyle w:val="ListBullet"/>
        <w:spacing w:after="40"/>
      </w:pPr>
      <w:r>
        <w:t>Store remote WordPress page IDs so future updates can preserve link destinations.</w:t>
      </w:r>
    </w:p>
    <w:p>
      <w:pPr>
        <w:pStyle w:val="ListBullet"/>
        <w:spacing w:after="40"/>
      </w:pPr>
      <w:r>
        <w:t>Use draft links only when previewing; published releases should point to approved published URLs.</w:t>
      </w:r>
    </w:p>
    <w:p>
      <w:pPr>
        <w:pStyle w:val="ListBullet"/>
        <w:spacing w:after="40"/>
      </w:pPr>
      <w:r>
        <w:t>Regenerate menus, breadcrumbs, related page blocks, and contextual links from the Approved Release snapshot.</w:t>
      </w:r>
    </w:p>
    <w:p>
      <w:pPr>
        <w:pStyle w:val="Heading2"/>
      </w:pPr>
      <w:r>
        <w:t>Static HTML Renderer</w:t>
      </w:r>
    </w:p>
    <w:p>
      <w:pPr>
        <w:pStyle w:val="ListBullet"/>
        <w:spacing w:after="40"/>
      </w:pPr>
      <w:r>
        <w:t>Convert internal link records to relative or absolute static paths.</w:t>
      </w:r>
    </w:p>
    <w:p>
      <w:pPr>
        <w:pStyle w:val="ListBullet"/>
        <w:spacing w:after="40"/>
      </w:pPr>
      <w:r>
        <w:t>Validate generated files before ZIP/export or deployment.</w:t>
      </w:r>
    </w:p>
    <w:p>
      <w:pPr>
        <w:pStyle w:val="ListBullet"/>
        <w:spacing w:after="40"/>
      </w:pPr>
      <w:r>
        <w:t>Generate sitemap.xml from the approved page set.</w:t>
      </w:r>
    </w:p>
    <w:p>
      <w:pPr>
        <w:pStyle w:val="ListBullet"/>
        <w:spacing w:after="40"/>
      </w:pPr>
      <w:r>
        <w:t>Ensure renamed slugs update all internal links before release packaging.</w:t>
      </w:r>
    </w:p>
    <w:p>
      <w:pPr>
        <w:pStyle w:val="Heading1"/>
        <w:pBdr>
          <w:bottom w:val="single" w:sz="8" w:space="1" w:color="D9E2F3"/>
        </w:pBdr>
      </w:pPr>
      <w:r>
        <w:t>12. Visual Editor Requirements</w:t>
      </w:r>
    </w:p>
    <w:p>
      <w:r>
        <w:t>Puck or any visual editor should edit internal links through the SENuke Website Model adapter. It should not bypass validation.</w:t>
      </w:r>
    </w:p>
    <w:p>
      <w:pPr>
        <w:pStyle w:val="ListBullet"/>
        <w:spacing w:after="40"/>
      </w:pPr>
      <w:r>
        <w:t>Allow users to view links per page and per component.</w:t>
      </w:r>
    </w:p>
    <w:p>
      <w:pPr>
        <w:pStyle w:val="ListBullet"/>
        <w:spacing w:after="40"/>
      </w:pPr>
      <w:r>
        <w:t>Allow editing anchor text and destination page where permitted.</w:t>
      </w:r>
    </w:p>
    <w:p>
      <w:pPr>
        <w:pStyle w:val="ListBullet"/>
        <w:spacing w:after="40"/>
      </w:pPr>
      <w:r>
        <w:t>Prevent links to unsupported, deleted, or unpublished destinations.</w:t>
      </w:r>
    </w:p>
    <w:p>
      <w:pPr>
        <w:pStyle w:val="ListBullet"/>
        <w:spacing w:after="40"/>
      </w:pPr>
      <w:r>
        <w:t>Show warning badges for broken links, duplicate anchors, or missing hub links.</w:t>
      </w:r>
    </w:p>
    <w:p>
      <w:pPr>
        <w:pStyle w:val="ListBullet"/>
        <w:spacing w:after="40"/>
      </w:pPr>
      <w:r>
        <w:t>Display an Internal Linking Map view for page clusters.</w:t>
      </w:r>
    </w:p>
    <w:p>
      <w:pPr>
        <w:pStyle w:val="ListBullet"/>
        <w:spacing w:after="40"/>
      </w:pPr>
      <w:r>
        <w:t>Require validation to run again when links are changed.</w:t>
      </w:r>
    </w:p>
    <w:p>
      <w:pPr>
        <w:pStyle w:val="Heading1"/>
        <w:pBdr>
          <w:bottom w:val="single" w:sz="8" w:space="1" w:color="D9E2F3"/>
        </w:pBdr>
      </w:pPr>
      <w:r>
        <w:t>13. Minimum MVP Implementation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64E95"/>
            <w:tcMar>
              <w:top w:w="100" w:type="dxa"/>
              <w:start w:w="100" w:type="dxa"/>
              <w:bottom w:w="100" w:type="dxa"/>
              <w:end w:w="100" w:type="dxa"/>
            </w:tcMar>
            <w:vAlign w:val="center"/>
          </w:tcPr>
          <w:p>
            <w:pPr>
              <w:jc w:val="left"/>
            </w:pPr>
            <w:r/>
            <w:r>
              <w:rPr>
                <w:b/>
                <w:color w:val="FFFFFF"/>
                <w:sz w:val="18"/>
              </w:rPr>
              <w:t>MVP Feature</w:t>
            </w:r>
          </w:p>
        </w:tc>
        <w:tc>
          <w:tcPr>
            <w:tcW w:type="dxa" w:w="7632"/>
            <w:shd w:fill="164E95"/>
            <w:tcMar>
              <w:top w:w="100" w:type="dxa"/>
              <w:start w:w="100" w:type="dxa"/>
              <w:bottom w:w="100" w:type="dxa"/>
              <w:end w:w="100" w:type="dxa"/>
            </w:tcMar>
            <w:vAlign w:val="center"/>
          </w:tcPr>
          <w:p>
            <w:pPr>
              <w:jc w:val="left"/>
            </w:pPr>
            <w:r/>
            <w:r>
              <w:rPr>
                <w:b/>
                <w:color w:val="FFFFFF"/>
                <w:sz w:val="18"/>
              </w:rPr>
              <w:t>Acceptance Criteria</w:t>
            </w:r>
          </w:p>
        </w:tc>
      </w:tr>
      <w:tr>
        <w:trPr>
          <w:cantSplit/>
        </w:trPr>
        <w:tc>
          <w:tcPr>
            <w:tcW w:type="dxa" w:w="3456"/>
            <w:tcMar>
              <w:top w:w="90" w:type="dxa"/>
              <w:start w:w="100" w:type="dxa"/>
              <w:bottom w:w="90" w:type="dxa"/>
              <w:end w:w="100" w:type="dxa"/>
            </w:tcMar>
            <w:vAlign w:val="top"/>
            <w:shd w:fill="F8FBFF"/>
          </w:tcPr>
          <w:p>
            <w:pPr>
              <w:jc w:val="left"/>
            </w:pPr>
            <w:r/>
            <w:r>
              <w:rPr>
                <w:b w:val="0"/>
                <w:sz w:val="18"/>
              </w:rPr>
              <w:t>Keyword-location page mapping</w:t>
            </w:r>
          </w:p>
        </w:tc>
        <w:tc>
          <w:tcPr>
            <w:tcW w:type="dxa" w:w="7632"/>
            <w:tcMar>
              <w:top w:w="90" w:type="dxa"/>
              <w:start w:w="100" w:type="dxa"/>
              <w:bottom w:w="90" w:type="dxa"/>
              <w:end w:w="100" w:type="dxa"/>
            </w:tcMar>
            <w:vAlign w:val="top"/>
            <w:shd w:fill="F8FBFF"/>
          </w:tcPr>
          <w:p>
            <w:pPr>
              <w:jc w:val="left"/>
            </w:pPr>
            <w:r/>
            <w:r>
              <w:rPr>
                <w:b w:val="0"/>
                <w:sz w:val="18"/>
              </w:rPr>
              <w:t>System generates main service, hub, and city page relationships.</w:t>
            </w:r>
          </w:p>
        </w:tc>
      </w:tr>
      <w:tr>
        <w:trPr>
          <w:cantSplit/>
        </w:trPr>
        <w:tc>
          <w:tcPr>
            <w:tcW w:type="dxa" w:w="3456"/>
            <w:tcMar>
              <w:top w:w="90" w:type="dxa"/>
              <w:start w:w="100" w:type="dxa"/>
              <w:bottom w:w="90" w:type="dxa"/>
              <w:end w:w="100" w:type="dxa"/>
            </w:tcMar>
            <w:vAlign w:val="top"/>
          </w:tcPr>
          <w:p>
            <w:pPr>
              <w:jc w:val="left"/>
            </w:pPr>
            <w:r/>
            <w:r>
              <w:rPr>
                <w:b w:val="0"/>
                <w:sz w:val="18"/>
              </w:rPr>
              <w:t>Internal link records</w:t>
            </w:r>
          </w:p>
        </w:tc>
        <w:tc>
          <w:tcPr>
            <w:tcW w:type="dxa" w:w="7632"/>
            <w:tcMar>
              <w:top w:w="90" w:type="dxa"/>
              <w:start w:w="100" w:type="dxa"/>
              <w:bottom w:w="90" w:type="dxa"/>
              <w:end w:w="100" w:type="dxa"/>
            </w:tcMar>
            <w:vAlign w:val="top"/>
          </w:tcPr>
          <w:p>
            <w:pPr>
              <w:jc w:val="left"/>
            </w:pPr>
            <w:r/>
            <w:r>
              <w:rPr>
                <w:b w:val="0"/>
                <w:sz w:val="18"/>
              </w:rPr>
              <w:t>Links are stored in the Website Model as structured objects.</w:t>
            </w:r>
          </w:p>
        </w:tc>
      </w:tr>
      <w:tr>
        <w:trPr>
          <w:cantSplit/>
        </w:trPr>
        <w:tc>
          <w:tcPr>
            <w:tcW w:type="dxa" w:w="3456"/>
            <w:tcMar>
              <w:top w:w="90" w:type="dxa"/>
              <w:start w:w="100" w:type="dxa"/>
              <w:bottom w:w="90" w:type="dxa"/>
              <w:end w:w="100" w:type="dxa"/>
            </w:tcMar>
            <w:vAlign w:val="top"/>
            <w:shd w:fill="F8FBFF"/>
          </w:tcPr>
          <w:p>
            <w:pPr>
              <w:jc w:val="left"/>
            </w:pPr>
            <w:r/>
            <w:r>
              <w:rPr>
                <w:b w:val="0"/>
                <w:sz w:val="18"/>
              </w:rPr>
              <w:t>Hub-and-spoke links</w:t>
            </w:r>
          </w:p>
        </w:tc>
        <w:tc>
          <w:tcPr>
            <w:tcW w:type="dxa" w:w="7632"/>
            <w:tcMar>
              <w:top w:w="90" w:type="dxa"/>
              <w:start w:w="100" w:type="dxa"/>
              <w:bottom w:w="90" w:type="dxa"/>
              <w:end w:w="100" w:type="dxa"/>
            </w:tcMar>
            <w:vAlign w:val="top"/>
            <w:shd w:fill="F8FBFF"/>
          </w:tcPr>
          <w:p>
            <w:pPr>
              <w:jc w:val="left"/>
            </w:pPr>
            <w:r/>
            <w:r>
              <w:rPr>
                <w:b w:val="0"/>
                <w:sz w:val="18"/>
              </w:rPr>
              <w:t>Cluster hub links to city pages and city pages link back to hub.</w:t>
            </w:r>
          </w:p>
        </w:tc>
      </w:tr>
      <w:tr>
        <w:trPr>
          <w:cantSplit/>
        </w:trPr>
        <w:tc>
          <w:tcPr>
            <w:tcW w:type="dxa" w:w="3456"/>
            <w:tcMar>
              <w:top w:w="90" w:type="dxa"/>
              <w:start w:w="100" w:type="dxa"/>
              <w:bottom w:w="90" w:type="dxa"/>
              <w:end w:w="100" w:type="dxa"/>
            </w:tcMar>
            <w:vAlign w:val="top"/>
          </w:tcPr>
          <w:p>
            <w:pPr>
              <w:jc w:val="left"/>
            </w:pPr>
            <w:r/>
            <w:r>
              <w:rPr>
                <w:b w:val="0"/>
                <w:sz w:val="18"/>
              </w:rPr>
              <w:t>Contextual body links</w:t>
            </w:r>
          </w:p>
        </w:tc>
        <w:tc>
          <w:tcPr>
            <w:tcW w:type="dxa" w:w="7632"/>
            <w:tcMar>
              <w:top w:w="90" w:type="dxa"/>
              <w:start w:w="100" w:type="dxa"/>
              <w:bottom w:w="90" w:type="dxa"/>
              <w:end w:w="100" w:type="dxa"/>
            </w:tcMar>
            <w:vAlign w:val="top"/>
          </w:tcPr>
          <w:p>
            <w:pPr>
              <w:jc w:val="left"/>
            </w:pPr>
            <w:r/>
            <w:r>
              <w:rPr>
                <w:b w:val="0"/>
                <w:sz w:val="18"/>
              </w:rPr>
              <w:t>At least one useful contextual link appears on each generated service/city page.</w:t>
            </w:r>
          </w:p>
        </w:tc>
      </w:tr>
      <w:tr>
        <w:trPr>
          <w:cantSplit/>
        </w:trPr>
        <w:tc>
          <w:tcPr>
            <w:tcW w:type="dxa" w:w="3456"/>
            <w:tcMar>
              <w:top w:w="90" w:type="dxa"/>
              <w:start w:w="100" w:type="dxa"/>
              <w:bottom w:w="90" w:type="dxa"/>
              <w:end w:w="100" w:type="dxa"/>
            </w:tcMar>
            <w:vAlign w:val="top"/>
            <w:shd w:fill="F8FBFF"/>
          </w:tcPr>
          <w:p>
            <w:pPr>
              <w:jc w:val="left"/>
            </w:pPr>
            <w:r/>
            <w:r>
              <w:rPr>
                <w:b w:val="0"/>
                <w:sz w:val="18"/>
              </w:rPr>
              <w:t>CTA links</w:t>
            </w:r>
          </w:p>
        </w:tc>
        <w:tc>
          <w:tcPr>
            <w:tcW w:type="dxa" w:w="7632"/>
            <w:tcMar>
              <w:top w:w="90" w:type="dxa"/>
              <w:start w:w="100" w:type="dxa"/>
              <w:bottom w:w="90" w:type="dxa"/>
              <w:end w:w="100" w:type="dxa"/>
            </w:tcMar>
            <w:vAlign w:val="top"/>
            <w:shd w:fill="F8FBFF"/>
          </w:tcPr>
          <w:p>
            <w:pPr>
              <w:jc w:val="left"/>
            </w:pPr>
            <w:r/>
            <w:r>
              <w:rPr>
                <w:b w:val="0"/>
                <w:sz w:val="18"/>
              </w:rPr>
              <w:t>Conversion pages/forms are linked from high-intent pages.</w:t>
            </w:r>
          </w:p>
        </w:tc>
      </w:tr>
      <w:tr>
        <w:trPr>
          <w:cantSplit/>
        </w:trPr>
        <w:tc>
          <w:tcPr>
            <w:tcW w:type="dxa" w:w="3456"/>
            <w:tcMar>
              <w:top w:w="90" w:type="dxa"/>
              <w:start w:w="100" w:type="dxa"/>
              <w:bottom w:w="90" w:type="dxa"/>
              <w:end w:w="100" w:type="dxa"/>
            </w:tcMar>
            <w:vAlign w:val="top"/>
          </w:tcPr>
          <w:p>
            <w:pPr>
              <w:jc w:val="left"/>
            </w:pPr>
            <w:r/>
            <w:r>
              <w:rPr>
                <w:b w:val="0"/>
                <w:sz w:val="18"/>
              </w:rPr>
              <w:t>Validation</w:t>
            </w:r>
          </w:p>
        </w:tc>
        <w:tc>
          <w:tcPr>
            <w:tcW w:type="dxa" w:w="7632"/>
            <w:tcMar>
              <w:top w:w="90" w:type="dxa"/>
              <w:start w:w="100" w:type="dxa"/>
              <w:bottom w:w="90" w:type="dxa"/>
              <w:end w:w="100" w:type="dxa"/>
            </w:tcMar>
            <w:vAlign w:val="top"/>
          </w:tcPr>
          <w:p>
            <w:pPr>
              <w:jc w:val="left"/>
            </w:pPr>
            <w:r/>
            <w:r>
              <w:rPr>
                <w:b w:val="0"/>
                <w:sz w:val="18"/>
              </w:rPr>
              <w:t>Broken links and orphan pages block release.</w:t>
            </w:r>
          </w:p>
        </w:tc>
      </w:tr>
      <w:tr>
        <w:trPr>
          <w:cantSplit/>
        </w:trPr>
        <w:tc>
          <w:tcPr>
            <w:tcW w:type="dxa" w:w="3456"/>
            <w:tcMar>
              <w:top w:w="90" w:type="dxa"/>
              <w:start w:w="100" w:type="dxa"/>
              <w:bottom w:w="90" w:type="dxa"/>
              <w:end w:w="100" w:type="dxa"/>
            </w:tcMar>
            <w:vAlign w:val="top"/>
            <w:shd w:fill="F8FBFF"/>
          </w:tcPr>
          <w:p>
            <w:pPr>
              <w:jc w:val="left"/>
            </w:pPr>
            <w:r/>
            <w:r>
              <w:rPr>
                <w:b w:val="0"/>
                <w:sz w:val="18"/>
              </w:rPr>
              <w:t>Preview</w:t>
            </w:r>
          </w:p>
        </w:tc>
        <w:tc>
          <w:tcPr>
            <w:tcW w:type="dxa" w:w="7632"/>
            <w:tcMar>
              <w:top w:w="90" w:type="dxa"/>
              <w:start w:w="100" w:type="dxa"/>
              <w:bottom w:w="90" w:type="dxa"/>
              <w:end w:w="100" w:type="dxa"/>
            </w:tcMar>
            <w:vAlign w:val="top"/>
            <w:shd w:fill="F8FBFF"/>
          </w:tcPr>
          <w:p>
            <w:pPr>
              <w:jc w:val="left"/>
            </w:pPr>
            <w:r/>
            <w:r>
              <w:rPr>
                <w:b w:val="0"/>
                <w:sz w:val="18"/>
              </w:rPr>
              <w:t>User can review the internal links before approval.</w:t>
            </w:r>
          </w:p>
        </w:tc>
      </w:tr>
      <w:tr>
        <w:trPr>
          <w:cantSplit/>
        </w:trPr>
        <w:tc>
          <w:tcPr>
            <w:tcW w:type="dxa" w:w="3456"/>
            <w:tcMar>
              <w:top w:w="90" w:type="dxa"/>
              <w:start w:w="100" w:type="dxa"/>
              <w:bottom w:w="90" w:type="dxa"/>
              <w:end w:w="100" w:type="dxa"/>
            </w:tcMar>
            <w:vAlign w:val="top"/>
          </w:tcPr>
          <w:p>
            <w:pPr>
              <w:jc w:val="left"/>
            </w:pPr>
            <w:r/>
            <w:r>
              <w:rPr>
                <w:b w:val="0"/>
                <w:sz w:val="18"/>
              </w:rPr>
              <w:t>Renderer output</w:t>
            </w:r>
          </w:p>
        </w:tc>
        <w:tc>
          <w:tcPr>
            <w:tcW w:type="dxa" w:w="7632"/>
            <w:tcMar>
              <w:top w:w="90" w:type="dxa"/>
              <w:start w:w="100" w:type="dxa"/>
              <w:bottom w:w="90" w:type="dxa"/>
              <w:end w:w="100" w:type="dxa"/>
            </w:tcMar>
            <w:vAlign w:val="top"/>
          </w:tcPr>
          <w:p>
            <w:pPr>
              <w:jc w:val="left"/>
            </w:pPr>
            <w:r/>
            <w:r>
              <w:rPr>
                <w:b w:val="0"/>
                <w:sz w:val="18"/>
              </w:rPr>
              <w:t>WordPress and static HTML render the same approved internal link map.</w:t>
            </w:r>
          </w:p>
        </w:tc>
      </w:tr>
    </w:tbl>
    <w:p/>
    <w:p>
      <w:pPr>
        <w:pStyle w:val="Heading1"/>
        <w:pBdr>
          <w:bottom w:val="single" w:sz="8" w:space="1" w:color="D9E2F3"/>
        </w:pBdr>
      </w:pPr>
      <w:r>
        <w:t>14. Final Developer Instruction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7EF"/>
            <w:tcMar>
              <w:top w:w="160" w:type="dxa"/>
              <w:start w:w="160" w:type="dxa"/>
              <w:bottom w:w="160" w:type="dxa"/>
              <w:end w:w="160" w:type="dxa"/>
            </w:tcMar>
            <w:tcBorders>
              <w:top w:val="single" w:sz="6" w:color="6AA84F"/>
              <w:left w:val="single" w:sz="6" w:color="6AA84F"/>
              <w:bottom w:val="single" w:sz="6" w:color="6AA84F"/>
              <w:right w:val="single" w:sz="6" w:color="6AA84F"/>
            </w:tcBorders>
          </w:tcPr>
          <w:p>
            <w:r>
              <w:rPr>
                <w:b/>
                <w:color w:val="164E95"/>
                <w:sz w:val="20"/>
              </w:rPr>
              <w:t>Implementation Rule</w:t>
            </w:r>
          </w:p>
          <w:p>
            <w:pPr>
              <w:spacing w:after="0"/>
            </w:pPr>
            <w:r>
              <w:rPr>
                <w:sz w:val="19"/>
              </w:rPr>
              <w:t>Internal linking must be generated, stored, validated, approved, and rendered from the Website Model and Approved Release. Do not treat internal links as unstructured HTML text that cannot be audited or updated.</w:t>
            </w:r>
          </w:p>
        </w:tc>
      </w:tr>
    </w:tbl>
    <w:p>
      <w:r>
        <w:t>The final system should make internal linking automatic but not uncontrolled. SENuke AI should propose links based on keywords, locations, page intent, and component placements. The Website Model should store them, the Validation Service should check them, the Visual Editor should allow safe review/editing, and renderers should publish only from an Approved Release.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Confidential developer note for SENuke AI Website Builder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SENuke AI | Internal Linking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64E9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64E9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64E9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SENuke AI Internal Linking Strategy and Developer Notes</dc:title>
  <dc:subject>Internal linking strategy for SENuke AI Website Builder</dc:subject>
  <dc:creator>SENuke AI</dc:creator>
  <cp:keywords/>
  <dc:description>Generated developer note</dc:description>
  <cp:lastModifiedBy/>
  <cp:revision>1</cp:revision>
  <dcterms:created xsi:type="dcterms:W3CDTF">2013-12-23T23:15:00Z</dcterms:created>
  <dcterms:modified xsi:type="dcterms:W3CDTF">2013-12-23T23:15:00Z</dcterms:modified>
  <cp:category/>
</cp:coreProperties>
</file>