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У вкладенні два архіва: в одному збілжений аплікейшен для тестового, в іншому - сам проєкт.</w:t>
      </w:r>
    </w:p>
    <w:p w:rsidR="00000000" w:rsidDel="00000000" w:rsidP="00000000" w:rsidRDefault="00000000" w:rsidRPr="00000000" w14:paraId="00000002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215900" cy="215900"/>
            <wp:effectExtent b="0" l="0" r="0" t="0"/>
            <wp:docPr descr=":exclamation:" id="1" name="image1.png"/>
            <a:graphic>
              <a:graphicData uri="http://schemas.openxmlformats.org/drawingml/2006/picture">
                <pic:pic>
                  <pic:nvPicPr>
                    <pic:cNvPr descr=":exclamation: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1d1c1d"/>
          <w:sz w:val="23"/>
          <w:szCs w:val="23"/>
          <w:rtl w:val="0"/>
        </w:rPr>
        <w:t xml:space="preserve">Перед виконанням тестового треба впевнитись що встановлені .NET Core версії 3.1 чи вище. 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(</w:t>
      </w:r>
      <w:hyperlink r:id="rId7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https://dotnet.microsoft.com/en-us/download/dotnet/3.1</w:t>
        </w:r>
      </w:hyperlink>
      <w:r w:rsidDel="00000000" w:rsidR="00000000" w:rsidRPr="00000000">
        <w:rPr>
          <w:color w:val="1d1c1d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8f8f8" w:val="clear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Запустити AdMixer_Test_Web_App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8f8f8" w:val="clear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Через браузер постукатись на localhost:5000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8f8f8" w:val="clear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На</w:t>
      </w: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 основній сторінці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: необхідно знайти всі помилки (скріншот + опис проблеми). А також відкрити проєкт (другий архів) та зробити скріншот коду де допущені помилки.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8f8f8" w:val="clear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На сторінці</w:t>
      </w: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 IAB Tech Lab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: знайти помилки в двох JSON-ах (згідно специфікації).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8f8f8" w:val="clear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Сторінка </w:t>
      </w: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Prebid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: виконати завдання вказане на сторінці (html file)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8f8f8" w:val="clear"/>
        <w:ind w:left="1140" w:hanging="360"/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SQL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: (txt файл з переліком queries).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tnet.microsoft.com/en-us/download/dotnet/3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