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4E6" w:rsidRDefault="00BB04E6">
      <w:pPr>
        <w:rPr>
          <w:rFonts w:hint="eastAsia"/>
        </w:rPr>
      </w:pPr>
    </w:p>
    <w:p w:rsidR="00BB04E6" w:rsidRDefault="00BB04E6" w:rsidP="009D64B6">
      <w:pPr>
        <w:outlineLvl w:val="0"/>
        <w:rPr>
          <w:rFonts w:hint="eastAsia"/>
        </w:rPr>
      </w:pPr>
      <w:r>
        <w:rPr>
          <w:rFonts w:hint="eastAsia"/>
        </w:rPr>
        <w:t>Fruit</w:t>
      </w:r>
    </w:p>
    <w:p w:rsidR="00EE690F" w:rsidRDefault="00EE690F" w:rsidP="009D64B6">
      <w:pPr>
        <w:outlineLvl w:val="0"/>
      </w:pPr>
      <w:r>
        <w:rPr>
          <w:rFonts w:hint="eastAsia"/>
        </w:rPr>
        <w:t>On the Insert tab, the galleries include items that are designed to coo</w:t>
      </w:r>
      <w:r>
        <w:rPr>
          <w:rFonts w:hint="eastAsia"/>
          <w:noProof/>
        </w:rPr>
        <w:drawing>
          <wp:inline distT="0" distB="0" distL="0" distR="0">
            <wp:extent cx="2501900" cy="1749712"/>
            <wp:effectExtent l="19050" t="0" r="12700" b="2888"/>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roofErr w:type="spellStart"/>
      <w:r>
        <w:rPr>
          <w:rFonts w:hint="eastAsia"/>
        </w:rPr>
        <w:t>rdinate</w:t>
      </w:r>
      <w:proofErr w:type="spellEnd"/>
      <w:r>
        <w:rPr>
          <w:rFonts w:hint="eastAsia"/>
        </w:rPr>
        <w:t xml:space="preserve"> with the overall look of your document. </w:t>
      </w:r>
      <w:r>
        <w:t>You can use these galleries to insert tables, headers, footers, lists, cover pages, and other document building blocks. When you create pictures, charts, or diagrams, they also coordinate with your current document look.</w:t>
      </w:r>
      <w:r w:rsidRPr="00EE690F">
        <w:rPr>
          <w:noProof/>
        </w:rPr>
        <w:t xml:space="preserve"> </w:t>
      </w:r>
      <w:r>
        <w:rPr>
          <w:noProof/>
        </w:rPr>
        <w:drawing>
          <wp:inline distT="0" distB="0" distL="0" distR="0">
            <wp:extent cx="2501900" cy="1086733"/>
            <wp:effectExtent l="19050" t="0" r="1270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E690F" w:rsidRDefault="00EE690F" w:rsidP="009D64B6">
      <w:pPr>
        <w:outlineLvl w:val="0"/>
      </w:pPr>
      <w:r>
        <w:rPr>
          <w:rFonts w:hint="eastAsia"/>
        </w:rPr>
        <w:t xml:space="preserve">You can easily change the formatting of selected text in the document text by choosing a look for the selected text from the Quick Styles gallery on the Home tab. </w:t>
      </w:r>
      <w:r>
        <w:t xml:space="preserve">You can also format text directly by using the other controls on the Home tab. Most controls offer a choice of using </w:t>
      </w:r>
      <w:r>
        <w:rPr>
          <w:rFonts w:hint="eastAsia"/>
          <w:noProof/>
        </w:rPr>
        <w:drawing>
          <wp:inline distT="0" distB="0" distL="0" distR="0">
            <wp:extent cx="2501900" cy="1462486"/>
            <wp:effectExtent l="19050" t="0" r="12700" b="4364"/>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t>the look from the current theme or using a format that you specify directly.</w:t>
      </w:r>
    </w:p>
    <w:p w:rsidR="00EE690F" w:rsidRDefault="00EE690F" w:rsidP="009D64B6">
      <w:pPr>
        <w:outlineLvl w:val="0"/>
        <w:rPr>
          <w:rFonts w:hint="eastAsia"/>
        </w:rPr>
      </w:pPr>
      <w:r>
        <w:rPr>
          <w:rFonts w:hint="eastAsia"/>
        </w:rPr>
        <w:t xml:space="preserve">To change the overall look of your document, </w:t>
      </w:r>
      <w:r>
        <w:rPr>
          <w:rFonts w:hint="eastAsia"/>
        </w:rPr>
        <w:lastRenderedPageBreak/>
        <w:t xml:space="preserve">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E690F" w:rsidRDefault="00EE690F" w:rsidP="009D64B6">
      <w:pPr>
        <w:outlineLvl w:val="0"/>
        <w:rPr>
          <w:rFonts w:hint="eastAsia"/>
        </w:rPr>
      </w:pPr>
    </w:p>
    <w:p w:rsidR="00BB04E6" w:rsidRDefault="00BB04E6"/>
    <w:p w:rsidR="00602BD7" w:rsidRDefault="00602BD7"/>
    <w:p w:rsidR="00BB04E6" w:rsidRDefault="00BB04E6">
      <w:r>
        <w:t>L</w:t>
      </w:r>
      <w:r>
        <w:rPr>
          <w:rFonts w:hint="eastAsia"/>
        </w:rPr>
        <w:t>ine:</w:t>
      </w:r>
    </w:p>
    <w:p w:rsidR="00BB04E6" w:rsidRDefault="00BB04E6"/>
    <w:p w:rsidR="00BB04E6" w:rsidRDefault="00BB04E6">
      <w:r>
        <w:t>P</w:t>
      </w:r>
      <w:r>
        <w:rPr>
          <w:rFonts w:hint="eastAsia"/>
        </w:rPr>
        <w:t>ie:</w:t>
      </w:r>
    </w:p>
    <w:p w:rsidR="00BB04E6" w:rsidRDefault="00BB04E6">
      <w:r>
        <w:rPr>
          <w:rFonts w:hint="eastAsia"/>
          <w:noProof/>
        </w:rPr>
        <w:drawing>
          <wp:inline distT="0" distB="0" distL="0" distR="0">
            <wp:extent cx="3368205" cy="2441050"/>
            <wp:effectExtent l="19050" t="0" r="2269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B04E6" w:rsidRDefault="00BB04E6">
      <w:r>
        <w:t>A</w:t>
      </w:r>
      <w:r>
        <w:rPr>
          <w:rFonts w:hint="eastAsia"/>
        </w:rPr>
        <w:t>rea:</w:t>
      </w:r>
    </w:p>
    <w:p w:rsidR="00BB04E6" w:rsidRDefault="00BB04E6"/>
    <w:p w:rsidR="009A0134" w:rsidRDefault="003271F7">
      <w:r>
        <w:rPr>
          <w:rFonts w:hint="eastAsia"/>
        </w:rPr>
        <w:t>X-y:</w:t>
      </w:r>
    </w:p>
    <w:p w:rsidR="009A0134" w:rsidRDefault="003271F7">
      <w:r>
        <w:rPr>
          <w:rFonts w:hint="eastAsia"/>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857375" cy="962025"/>
            <wp:effectExtent l="19050" t="0" r="9525"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br w:type="textWrapping" w:clear="all"/>
      </w:r>
      <w:r>
        <w:rPr>
          <w:rFonts w:hint="eastAsia"/>
        </w:rPr>
        <w:t>Radar:</w:t>
      </w:r>
    </w:p>
    <w:p w:rsidR="003271F7" w:rsidRDefault="003271F7">
      <w:r>
        <w:rPr>
          <w:rFonts w:hint="eastAsia"/>
          <w:noProof/>
        </w:rPr>
        <w:drawing>
          <wp:inline distT="0" distB="0" distL="0" distR="0">
            <wp:extent cx="1190625" cy="1181100"/>
            <wp:effectExtent l="1905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9D64B6">
        <w:rPr>
          <w:rFonts w:hint="eastAsia"/>
        </w:rPr>
        <w:t xml:space="preserve">     </w:t>
      </w:r>
      <w:r>
        <w:t>B</w:t>
      </w:r>
      <w:r>
        <w:rPr>
          <w:rFonts w:hint="eastAsia"/>
        </w:rPr>
        <w:t>ubble</w:t>
      </w:r>
      <w:proofErr w:type="gramStart"/>
      <w:r>
        <w:rPr>
          <w:rFonts w:hint="eastAsia"/>
        </w:rPr>
        <w:t>::</w:t>
      </w:r>
      <w:proofErr w:type="gramEnd"/>
      <w:r>
        <w:rPr>
          <w:rFonts w:hint="eastAsia"/>
          <w:noProof/>
        </w:rPr>
        <w:lastRenderedPageBreak/>
        <w:drawing>
          <wp:inline distT="0" distB="0" distL="0" distR="0">
            <wp:extent cx="1143000" cy="1933575"/>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3271F7" w:rsidSect="009D64B6">
      <w:pgSz w:w="11906" w:h="16838"/>
      <w:pgMar w:top="1440" w:right="1800" w:bottom="1440" w:left="1800" w:header="851" w:footer="992" w:gutter="0"/>
      <w:cols w:num="2"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A4F97"/>
    <w:rsid w:val="003271F7"/>
    <w:rsid w:val="00602BD7"/>
    <w:rsid w:val="00743C2E"/>
    <w:rsid w:val="00836653"/>
    <w:rsid w:val="009A0134"/>
    <w:rsid w:val="009A4F97"/>
    <w:rsid w:val="009D64B6"/>
    <w:rsid w:val="00BB04E6"/>
    <w:rsid w:val="00DB1F74"/>
    <w:rsid w:val="00EE690F"/>
    <w:rsid w:val="00F564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BD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F97"/>
    <w:rPr>
      <w:sz w:val="16"/>
      <w:szCs w:val="16"/>
    </w:rPr>
  </w:style>
  <w:style w:type="character" w:customStyle="1" w:styleId="BalloonTextChar">
    <w:name w:val="Balloon Text Char"/>
    <w:basedOn w:val="DefaultParagraphFont"/>
    <w:link w:val="BalloonText"/>
    <w:uiPriority w:val="99"/>
    <w:semiHidden/>
    <w:rsid w:val="009A4F97"/>
    <w:rPr>
      <w:sz w:val="16"/>
      <w:szCs w:val="16"/>
    </w:rPr>
  </w:style>
  <w:style w:type="paragraph" w:styleId="DocumentMap">
    <w:name w:val="Document Map"/>
    <w:basedOn w:val="Normal"/>
    <w:link w:val="DocumentMapChar"/>
    <w:uiPriority w:val="99"/>
    <w:semiHidden/>
    <w:unhideWhenUsed/>
    <w:rsid w:val="009D64B6"/>
    <w:rPr>
      <w:rFonts w:ascii="Tahoma" w:hAnsi="Tahoma" w:cs="Tahoma"/>
      <w:sz w:val="16"/>
      <w:szCs w:val="16"/>
    </w:rPr>
  </w:style>
  <w:style w:type="character" w:customStyle="1" w:styleId="DocumentMapChar">
    <w:name w:val="Document Map Char"/>
    <w:basedOn w:val="DefaultParagraphFont"/>
    <w:link w:val="DocumentMap"/>
    <w:uiPriority w:val="99"/>
    <w:semiHidden/>
    <w:rsid w:val="009D64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layout>
        <c:manualLayout>
          <c:xMode val="edge"/>
          <c:yMode val="edge"/>
          <c:x val="4.454295027977599E-3"/>
          <c:y val="0.29160908935303281"/>
        </c:manualLayout>
      </c:layout>
    </c:title>
    <c:plotArea>
      <c:layout/>
      <c:lineChart>
        <c:grouping val="stacked"/>
        <c:ser>
          <c:idx val="0"/>
          <c:order val="0"/>
          <c:tx>
            <c:strRef>
              <c:f>Sheet1!$B$1</c:f>
              <c:strCache>
                <c:ptCount val="1"/>
                <c:pt idx="0">
                  <c:v>Series 1</c:v>
                </c:pt>
              </c:strCache>
            </c:strRef>
          </c:tx>
          <c:cat>
            <c:numRef>
              <c:f>Sheet1!$A$2:$A$5</c:f>
              <c:numCache>
                <c:formatCode>General</c:formatCode>
                <c:ptCount val="4"/>
                <c:pt idx="0">
                  <c:v>1</c:v>
                </c:pt>
                <c:pt idx="1">
                  <c:v>2</c:v>
                </c:pt>
                <c:pt idx="2">
                  <c:v>3</c:v>
                </c:pt>
                <c:pt idx="3">
                  <c:v>4</c:v>
                </c:pt>
              </c:numCache>
            </c:numRef>
          </c:cat>
          <c:val>
            <c:numRef>
              <c:f>Sheet1!$B$2:$B$5</c:f>
              <c:numCache>
                <c:formatCode>General</c:formatCode>
                <c:ptCount val="4"/>
                <c:pt idx="0">
                  <c:v>0</c:v>
                </c:pt>
                <c:pt idx="1">
                  <c:v>2.5</c:v>
                </c:pt>
                <c:pt idx="2">
                  <c:v>3.5</c:v>
                </c:pt>
                <c:pt idx="3">
                  <c:v>4.5</c:v>
                </c:pt>
              </c:numCache>
            </c:numRef>
          </c:val>
        </c:ser>
        <c:ser>
          <c:idx val="1"/>
          <c:order val="1"/>
          <c:tx>
            <c:strRef>
              <c:f>Sheet1!$C$1</c:f>
              <c:strCache>
                <c:ptCount val="1"/>
                <c:pt idx="0">
                  <c:v>Series 2</c:v>
                </c:pt>
              </c:strCache>
            </c:strRef>
          </c:tx>
          <c:cat>
            <c:numRef>
              <c:f>Sheet1!$A$2:$A$5</c:f>
              <c:numCache>
                <c:formatCode>General</c:formatCode>
                <c:ptCount val="4"/>
                <c:pt idx="0">
                  <c:v>1</c:v>
                </c:pt>
                <c:pt idx="1">
                  <c:v>2</c:v>
                </c:pt>
                <c:pt idx="2">
                  <c:v>3</c:v>
                </c:pt>
                <c:pt idx="3">
                  <c:v>4</c:v>
                </c:pt>
              </c:numCache>
            </c:numRef>
          </c:cat>
          <c:val>
            <c:numRef>
              <c:f>Sheet1!$C$2:$C$5</c:f>
              <c:numCache>
                <c:formatCode>General</c:formatCode>
                <c:ptCount val="4"/>
                <c:pt idx="0">
                  <c:v>2.9</c:v>
                </c:pt>
                <c:pt idx="1">
                  <c:v>4.4000000000000004</c:v>
                </c:pt>
                <c:pt idx="2">
                  <c:v>1.8</c:v>
                </c:pt>
                <c:pt idx="3">
                  <c:v>9.8000000000000007</c:v>
                </c:pt>
              </c:numCache>
            </c:numRef>
          </c:val>
        </c:ser>
        <c:marker val="1"/>
        <c:axId val="52884224"/>
        <c:axId val="52886912"/>
      </c:lineChart>
      <c:catAx>
        <c:axId val="52884224"/>
        <c:scaling>
          <c:orientation val="minMax"/>
        </c:scaling>
        <c:axPos val="b"/>
        <c:numFmt formatCode="General" sourceLinked="1"/>
        <c:majorTickMark val="none"/>
        <c:tickLblPos val="nextTo"/>
        <c:crossAx val="52886912"/>
        <c:crosses val="autoZero"/>
        <c:auto val="1"/>
        <c:lblAlgn val="ctr"/>
        <c:lblOffset val="100"/>
      </c:catAx>
      <c:valAx>
        <c:axId val="52886912"/>
        <c:scaling>
          <c:orientation val="minMax"/>
        </c:scaling>
        <c:axPos val="l"/>
        <c:majorGridlines/>
        <c:title/>
        <c:numFmt formatCode="General" sourceLinked="1"/>
        <c:majorTickMark val="none"/>
        <c:tickLblPos val="nextTo"/>
        <c:crossAx val="5288422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a:solidFill>
                  <a:srgbClr val="FF0000"/>
                </a:solidFill>
              </a:rPr>
              <a:t>fruit</a:t>
            </a:r>
          </a:p>
        </c:rich>
      </c:tx>
    </c:title>
    <c:view3D>
      <c:perspective val="30"/>
    </c:view3D>
    <c:plotArea>
      <c:layout>
        <c:manualLayout>
          <c:layoutTarget val="inner"/>
          <c:xMode val="edge"/>
          <c:yMode val="edge"/>
          <c:x val="0.14678528601363661"/>
          <c:y val="0.10140020505857923"/>
          <c:w val="0.77503527308632802"/>
          <c:h val="0.26361902678057564"/>
        </c:manualLayout>
      </c:layout>
      <c:bar3DChart>
        <c:barDir val="col"/>
        <c:grouping val="clustered"/>
        <c:ser>
          <c:idx val="0"/>
          <c:order val="0"/>
          <c:tx>
            <c:strRef>
              <c:f>Sheet1!$B$1</c:f>
              <c:strCache>
                <c:ptCount val="1"/>
                <c:pt idx="0">
                  <c:v>Series 1</c:v>
                </c:pt>
              </c:strCache>
            </c:strRef>
          </c:tx>
          <c:cat>
            <c:strRef>
              <c:f>Sheet1!$A$2:$A$4</c:f>
              <c:strCache>
                <c:ptCount val="3"/>
                <c:pt idx="0">
                  <c:v>apple</c:v>
                </c:pt>
                <c:pt idx="1">
                  <c:v>banana</c:v>
                </c:pt>
                <c:pt idx="2">
                  <c:v>pear</c:v>
                </c:pt>
              </c:strCache>
            </c:strRef>
          </c:cat>
          <c:val>
            <c:numRef>
              <c:f>Sheet1!$B$2:$B$4</c:f>
              <c:numCache>
                <c:formatCode>General</c:formatCode>
                <c:ptCount val="3"/>
                <c:pt idx="0">
                  <c:v>4</c:v>
                </c:pt>
                <c:pt idx="1">
                  <c:v>2.9999997854564513</c:v>
                </c:pt>
                <c:pt idx="2">
                  <c:v>56456456453.900002</c:v>
                </c:pt>
              </c:numCache>
            </c:numRef>
          </c:val>
        </c:ser>
        <c:ser>
          <c:idx val="1"/>
          <c:order val="1"/>
          <c:tx>
            <c:strRef>
              <c:f>Sheet1!$C$1</c:f>
              <c:strCache>
                <c:ptCount val="1"/>
                <c:pt idx="0">
                  <c:v>Series 2</c:v>
                </c:pt>
              </c:strCache>
            </c:strRef>
          </c:tx>
          <c:cat>
            <c:strRef>
              <c:f>Sheet1!$A$2:$A$4</c:f>
              <c:strCache>
                <c:ptCount val="3"/>
                <c:pt idx="0">
                  <c:v>apple</c:v>
                </c:pt>
                <c:pt idx="1">
                  <c:v>banana</c:v>
                </c:pt>
                <c:pt idx="2">
                  <c:v>pear</c:v>
                </c:pt>
              </c:strCache>
            </c:strRef>
          </c:cat>
          <c:val>
            <c:numRef>
              <c:f>Sheet1!$C$2:$C$4</c:f>
              <c:numCache>
                <c:formatCode>General</c:formatCode>
                <c:ptCount val="3"/>
                <c:pt idx="0">
                  <c:v>2.4</c:v>
                </c:pt>
                <c:pt idx="1">
                  <c:v>5</c:v>
                </c:pt>
                <c:pt idx="2">
                  <c:v>2.2000000000000002</c:v>
                </c:pt>
              </c:numCache>
            </c:numRef>
          </c:val>
        </c:ser>
        <c:ser>
          <c:idx val="2"/>
          <c:order val="2"/>
          <c:tx>
            <c:strRef>
              <c:f>Sheet1!$D$1</c:f>
              <c:strCache>
                <c:ptCount val="1"/>
                <c:pt idx="0">
                  <c:v>Series 3</c:v>
                </c:pt>
              </c:strCache>
            </c:strRef>
          </c:tx>
          <c:cat>
            <c:strRef>
              <c:f>Sheet1!$A$2:$A$4</c:f>
              <c:strCache>
                <c:ptCount val="3"/>
                <c:pt idx="0">
                  <c:v>apple</c:v>
                </c:pt>
                <c:pt idx="1">
                  <c:v>banana</c:v>
                </c:pt>
                <c:pt idx="2">
                  <c:v>pear</c:v>
                </c:pt>
              </c:strCache>
            </c:strRef>
          </c:cat>
          <c:val>
            <c:numRef>
              <c:f>Sheet1!$D$2:$D$4</c:f>
              <c:numCache>
                <c:formatCode>General</c:formatCode>
                <c:ptCount val="3"/>
                <c:pt idx="0">
                  <c:v>2</c:v>
                </c:pt>
                <c:pt idx="1">
                  <c:v>2</c:v>
                </c:pt>
                <c:pt idx="2">
                  <c:v>3</c:v>
                </c:pt>
              </c:numCache>
            </c:numRef>
          </c:val>
        </c:ser>
        <c:shape val="box"/>
        <c:axId val="53269248"/>
        <c:axId val="53270784"/>
        <c:axId val="0"/>
      </c:bar3DChart>
      <c:catAx>
        <c:axId val="53269248"/>
        <c:scaling>
          <c:orientation val="minMax"/>
        </c:scaling>
        <c:axPos val="b"/>
        <c:majorTickMark val="none"/>
        <c:tickLblPos val="nextTo"/>
        <c:crossAx val="53270784"/>
        <c:crosses val="autoZero"/>
        <c:auto val="1"/>
        <c:lblAlgn val="ctr"/>
        <c:lblOffset val="100"/>
      </c:catAx>
      <c:valAx>
        <c:axId val="53270784"/>
        <c:scaling>
          <c:orientation val="minMax"/>
        </c:scaling>
        <c:axPos val="l"/>
        <c:majorGridlines/>
        <c:title/>
        <c:numFmt formatCode="General" sourceLinked="1"/>
        <c:majorTickMark val="none"/>
        <c:tickLblPos val="nextTo"/>
        <c:crossAx val="53269248"/>
        <c:crosses val="autoZero"/>
        <c:crossBetween val="between"/>
      </c:valAx>
      <c:dTable>
        <c:showHorzBorder val="1"/>
        <c:showVertBorder val="1"/>
        <c:showOutline val="1"/>
        <c:showKeys val="1"/>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style val="11"/>
  <c:chart>
    <c:view3D>
      <c:perspective val="30"/>
    </c:view3D>
    <c:plotArea>
      <c:layout/>
      <c:area3DChart>
        <c:grouping val="stacked"/>
        <c:ser>
          <c:idx val="0"/>
          <c:order val="0"/>
          <c:tx>
            <c:strRef>
              <c:f>Sheet1!$B$1</c:f>
              <c:strCache>
                <c:ptCount val="1"/>
                <c:pt idx="0">
                  <c:v>Series 1</c:v>
                </c:pt>
              </c:strCache>
            </c:strRef>
          </c:tx>
          <c:cat>
            <c:strRef>
              <c:f>Sheet1!$A$2:$A$6</c:f>
              <c:strCache>
                <c:ptCount val="5"/>
                <c:pt idx="0">
                  <c:v>1/5/2002</c:v>
                </c:pt>
                <c:pt idx="1">
                  <c:v>1/6/2002</c:v>
                </c:pt>
                <c:pt idx="2">
                  <c:v>1/7/2002</c:v>
                </c:pt>
                <c:pt idx="3">
                  <c:v>1/8/2002</c:v>
                </c:pt>
                <c:pt idx="4">
                  <c:v>1/9/2002</c:v>
                </c:pt>
              </c:strCache>
            </c:strRef>
          </c:cat>
          <c:val>
            <c:numRef>
              <c:f>Sheet1!$B$2:$B$6</c:f>
              <c:numCache>
                <c:formatCode>General</c:formatCode>
                <c:ptCount val="5"/>
                <c:pt idx="0">
                  <c:v>32</c:v>
                </c:pt>
                <c:pt idx="1">
                  <c:v>32</c:v>
                </c:pt>
                <c:pt idx="2">
                  <c:v>28</c:v>
                </c:pt>
                <c:pt idx="3">
                  <c:v>12</c:v>
                </c:pt>
                <c:pt idx="4">
                  <c:v>15</c:v>
                </c:pt>
              </c:numCache>
            </c:numRef>
          </c:val>
        </c:ser>
        <c:ser>
          <c:idx val="1"/>
          <c:order val="1"/>
          <c:tx>
            <c:strRef>
              <c:f>Sheet1!$C$1</c:f>
              <c:strCache>
                <c:ptCount val="1"/>
                <c:pt idx="0">
                  <c:v>Series 2</c:v>
                </c:pt>
              </c:strCache>
            </c:strRef>
          </c:tx>
          <c:cat>
            <c:strRef>
              <c:f>Sheet1!$A$2:$A$6</c:f>
              <c:strCache>
                <c:ptCount val="5"/>
                <c:pt idx="0">
                  <c:v>1/5/2002</c:v>
                </c:pt>
                <c:pt idx="1">
                  <c:v>1/6/2002</c:v>
                </c:pt>
                <c:pt idx="2">
                  <c:v>1/7/2002</c:v>
                </c:pt>
                <c:pt idx="3">
                  <c:v>1/8/2002</c:v>
                </c:pt>
                <c:pt idx="4">
                  <c:v>1/9/2002</c:v>
                </c:pt>
              </c:strCache>
            </c:strRef>
          </c:cat>
          <c:val>
            <c:numRef>
              <c:f>Sheet1!$C$2:$C$6</c:f>
              <c:numCache>
                <c:formatCode>General</c:formatCode>
                <c:ptCount val="5"/>
                <c:pt idx="0">
                  <c:v>12</c:v>
                </c:pt>
                <c:pt idx="1">
                  <c:v>12</c:v>
                </c:pt>
                <c:pt idx="2">
                  <c:v>12</c:v>
                </c:pt>
                <c:pt idx="3">
                  <c:v>21</c:v>
                </c:pt>
                <c:pt idx="4">
                  <c:v>28</c:v>
                </c:pt>
              </c:numCache>
            </c:numRef>
          </c:val>
        </c:ser>
        <c:axId val="128708608"/>
        <c:axId val="128799872"/>
        <c:axId val="0"/>
      </c:area3DChart>
      <c:catAx>
        <c:axId val="128708608"/>
        <c:scaling>
          <c:orientation val="minMax"/>
        </c:scaling>
        <c:axPos val="b"/>
        <c:tickLblPos val="nextTo"/>
        <c:crossAx val="128799872"/>
        <c:crosses val="autoZero"/>
        <c:auto val="1"/>
        <c:lblAlgn val="ctr"/>
        <c:lblOffset val="100"/>
      </c:catAx>
      <c:valAx>
        <c:axId val="128799872"/>
        <c:scaling>
          <c:orientation val="minMax"/>
        </c:scaling>
        <c:axPos val="l"/>
        <c:majorGridlines/>
        <c:numFmt formatCode="General" sourceLinked="1"/>
        <c:tickLblPos val="nextTo"/>
        <c:crossAx val="128708608"/>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title/>
    <c:plotArea>
      <c:layout/>
      <c:ofPieChart>
        <c:ofPieType val="bar"/>
        <c:varyColors val="1"/>
        <c:ser>
          <c:idx val="0"/>
          <c:order val="0"/>
          <c:tx>
            <c:strRef>
              <c:f>Sheet1!$B$1</c:f>
              <c:strCache>
                <c:ptCount val="1"/>
                <c:pt idx="0">
                  <c:v>p_n</c:v>
                </c:pt>
              </c:strCache>
            </c:strRef>
          </c:tx>
          <c:explosion val="89"/>
          <c:dPt>
            <c:idx val="2"/>
            <c:explosion val="140"/>
          </c:dPt>
          <c:dLbls>
            <c:dLbl>
              <c:idx val="2"/>
              <c:layout>
                <c:manualLayout>
                  <c:x val="-1.8221723440230039E-2"/>
                  <c:y val="0.10366686466889249"/>
                </c:manualLayout>
              </c:layout>
              <c:showVal val="1"/>
            </c:dLbl>
            <c:showVal val="1"/>
            <c:showLeaderLines val="1"/>
          </c:dLbls>
          <c:cat>
            <c:strRef>
              <c:f>Sheet1!$A$2:$A$6</c:f>
              <c:strCache>
                <c:ptCount val="5"/>
                <c:pt idx="0">
                  <c:v>90-100</c:v>
                </c:pt>
                <c:pt idx="1">
                  <c:v>80-90</c:v>
                </c:pt>
                <c:pt idx="2">
                  <c:v>70-80</c:v>
                </c:pt>
                <c:pt idx="3">
                  <c:v>60-70</c:v>
                </c:pt>
                <c:pt idx="4">
                  <c:v>other</c:v>
                </c:pt>
              </c:strCache>
            </c:strRef>
          </c:cat>
          <c:val>
            <c:numRef>
              <c:f>Sheet1!$B$2:$B$6</c:f>
              <c:numCache>
                <c:formatCode>General</c:formatCode>
                <c:ptCount val="5"/>
                <c:pt idx="0">
                  <c:v>8</c:v>
                </c:pt>
                <c:pt idx="1">
                  <c:v>20</c:v>
                </c:pt>
                <c:pt idx="2">
                  <c:v>21</c:v>
                </c:pt>
                <c:pt idx="3">
                  <c:v>13</c:v>
                </c:pt>
                <c:pt idx="4">
                  <c:v>9</c:v>
                </c:pt>
              </c:numCache>
            </c:numRef>
          </c:val>
        </c:ser>
        <c:gapWidth val="100"/>
        <c:secondPieSize val="75"/>
        <c:serLines/>
      </c:ofPieChart>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title/>
    <c:plotArea>
      <c:layout/>
      <c:scatterChart>
        <c:scatterStyle val="smoothMarker"/>
        <c:ser>
          <c:idx val="0"/>
          <c:order val="0"/>
          <c:tx>
            <c:strRef>
              <c:f>Sheet1!$B$1</c:f>
              <c:strCache>
                <c:ptCount val="1"/>
                <c:pt idx="0">
                  <c:v>Y-Values</c:v>
                </c:pt>
              </c:strCache>
            </c:strRef>
          </c:tx>
          <c:marker>
            <c:symbol val="none"/>
          </c:marker>
          <c:xVal>
            <c:numRef>
              <c:f>Sheet1!$A$2:$A$4</c:f>
              <c:numCache>
                <c:formatCode>General</c:formatCode>
                <c:ptCount val="3"/>
                <c:pt idx="0">
                  <c:v>0.70000000000000051</c:v>
                </c:pt>
                <c:pt idx="1">
                  <c:v>1.8</c:v>
                </c:pt>
                <c:pt idx="2">
                  <c:v>2.6</c:v>
                </c:pt>
              </c:numCache>
            </c:numRef>
          </c:xVal>
          <c:yVal>
            <c:numRef>
              <c:f>Sheet1!$B$2:$B$4</c:f>
              <c:numCache>
                <c:formatCode>General</c:formatCode>
                <c:ptCount val="3"/>
                <c:pt idx="0">
                  <c:v>2.7</c:v>
                </c:pt>
                <c:pt idx="1">
                  <c:v>3.2</c:v>
                </c:pt>
                <c:pt idx="2">
                  <c:v>0.8</c:v>
                </c:pt>
              </c:numCache>
            </c:numRef>
          </c:yVal>
          <c:smooth val="1"/>
        </c:ser>
        <c:axId val="52678016"/>
        <c:axId val="53113984"/>
      </c:scatterChart>
      <c:valAx>
        <c:axId val="52678016"/>
        <c:scaling>
          <c:orientation val="minMax"/>
        </c:scaling>
        <c:axPos val="b"/>
        <c:numFmt formatCode="General" sourceLinked="1"/>
        <c:tickLblPos val="nextTo"/>
        <c:crossAx val="53113984"/>
        <c:crosses val="autoZero"/>
        <c:crossBetween val="midCat"/>
      </c:valAx>
      <c:valAx>
        <c:axId val="53113984"/>
        <c:scaling>
          <c:orientation val="minMax"/>
        </c:scaling>
        <c:axPos val="l"/>
        <c:majorGridlines/>
        <c:numFmt formatCode="General" sourceLinked="1"/>
        <c:tickLblPos val="nextTo"/>
        <c:crossAx val="52678016"/>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style val="28"/>
  <c:chart>
    <c:title/>
    <c:plotArea>
      <c:layout/>
      <c:radarChart>
        <c:radarStyle val="filled"/>
        <c:ser>
          <c:idx val="0"/>
          <c:order val="0"/>
          <c:tx>
            <c:strRef>
              <c:f>Sheet1!$B$1</c:f>
              <c:strCache>
                <c:ptCount val="1"/>
                <c:pt idx="0">
                  <c:v>Series 1</c:v>
                </c:pt>
              </c:strCache>
            </c:strRef>
          </c:tx>
          <c:cat>
            <c:strRef>
              <c:f>Sheet1!$A$2:$A$6</c:f>
              <c:strCache>
                <c:ptCount val="5"/>
                <c:pt idx="0">
                  <c:v>1/5/2002</c:v>
                </c:pt>
                <c:pt idx="1">
                  <c:v>1/6/2002</c:v>
                </c:pt>
                <c:pt idx="2">
                  <c:v>1/7/2002</c:v>
                </c:pt>
                <c:pt idx="3">
                  <c:v>1/8/2002</c:v>
                </c:pt>
                <c:pt idx="4">
                  <c:v>1/9/2002</c:v>
                </c:pt>
              </c:strCache>
            </c:strRef>
          </c:cat>
          <c:val>
            <c:numRef>
              <c:f>Sheet1!$B$2:$B$6</c:f>
              <c:numCache>
                <c:formatCode>General</c:formatCode>
                <c:ptCount val="5"/>
                <c:pt idx="0">
                  <c:v>30</c:v>
                </c:pt>
                <c:pt idx="1">
                  <c:v>32</c:v>
                </c:pt>
                <c:pt idx="2">
                  <c:v>28</c:v>
                </c:pt>
                <c:pt idx="3">
                  <c:v>12</c:v>
                </c:pt>
                <c:pt idx="4">
                  <c:v>15</c:v>
                </c:pt>
              </c:numCache>
            </c:numRef>
          </c:val>
        </c:ser>
        <c:ser>
          <c:idx val="1"/>
          <c:order val="1"/>
          <c:tx>
            <c:strRef>
              <c:f>Sheet1!$C$1</c:f>
              <c:strCache>
                <c:ptCount val="1"/>
                <c:pt idx="0">
                  <c:v>Series 2</c:v>
                </c:pt>
              </c:strCache>
            </c:strRef>
          </c:tx>
          <c:spPr>
            <a:scene3d>
              <a:camera prst="orthographicFront"/>
              <a:lightRig rig="threePt" dir="t">
                <a:rot lat="0" lon="0" rev="1200000"/>
              </a:lightRig>
            </a:scene3d>
            <a:sp3d>
              <a:bevelT w="63500" h="25400" prst="softRound"/>
            </a:sp3d>
          </c:spPr>
          <c:cat>
            <c:strRef>
              <c:f>Sheet1!$A$2:$A$6</c:f>
              <c:strCache>
                <c:ptCount val="5"/>
                <c:pt idx="0">
                  <c:v>1/5/2002</c:v>
                </c:pt>
                <c:pt idx="1">
                  <c:v>1/6/2002</c:v>
                </c:pt>
                <c:pt idx="2">
                  <c:v>1/7/2002</c:v>
                </c:pt>
                <c:pt idx="3">
                  <c:v>1/8/2002</c:v>
                </c:pt>
                <c:pt idx="4">
                  <c:v>1/9/2002</c:v>
                </c:pt>
              </c:strCache>
            </c:strRef>
          </c:cat>
          <c:val>
            <c:numRef>
              <c:f>Sheet1!$C$2:$C$6</c:f>
              <c:numCache>
                <c:formatCode>General</c:formatCode>
                <c:ptCount val="5"/>
                <c:pt idx="0">
                  <c:v>12</c:v>
                </c:pt>
                <c:pt idx="1">
                  <c:v>12</c:v>
                </c:pt>
                <c:pt idx="2">
                  <c:v>12</c:v>
                </c:pt>
                <c:pt idx="3">
                  <c:v>21</c:v>
                </c:pt>
                <c:pt idx="4">
                  <c:v>28</c:v>
                </c:pt>
              </c:numCache>
            </c:numRef>
          </c:val>
        </c:ser>
        <c:axId val="79501952"/>
        <c:axId val="85504384"/>
      </c:radarChart>
      <c:catAx>
        <c:axId val="79501952"/>
        <c:scaling>
          <c:orientation val="minMax"/>
        </c:scaling>
        <c:axPos val="b"/>
        <c:majorGridlines/>
        <c:majorTickMark val="none"/>
        <c:tickLblPos val="nextTo"/>
        <c:spPr>
          <a:ln w="9525">
            <a:noFill/>
          </a:ln>
        </c:spPr>
        <c:crossAx val="85504384"/>
        <c:crosses val="autoZero"/>
        <c:auto val="1"/>
        <c:lblAlgn val="ctr"/>
        <c:lblOffset val="100"/>
      </c:catAx>
      <c:valAx>
        <c:axId val="85504384"/>
        <c:scaling>
          <c:orientation val="minMax"/>
        </c:scaling>
        <c:axPos val="l"/>
        <c:majorGridlines/>
        <c:numFmt formatCode="General" sourceLinked="1"/>
        <c:majorTickMark val="none"/>
        <c:tickLblPos val="nextTo"/>
        <c:crossAx val="79501952"/>
        <c:crosses val="autoZero"/>
        <c:crossBetween val="between"/>
      </c:valAx>
    </c:plotArea>
    <c:legend>
      <c:legendPos val="r"/>
      <c:legendEntry>
        <c:idx val="0"/>
        <c:txPr>
          <a:bodyPr/>
          <a:lstStyle/>
          <a:p>
            <a:pPr>
              <a:defRPr baseline="0">
                <a:ea typeface="BatangChe" pitchFamily="49" charset="-127"/>
              </a:defRPr>
            </a:pPr>
            <a:endParaRPr lang="zh-CN"/>
          </a:p>
        </c:txPr>
      </c:legendEntry>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style val="31"/>
  <c:chart>
    <c:title/>
    <c:plotArea>
      <c:layout/>
      <c:bubbleChart>
        <c:ser>
          <c:idx val="0"/>
          <c:order val="0"/>
          <c:tx>
            <c:strRef>
              <c:f>Sheet1!$B$1</c:f>
              <c:strCache>
                <c:ptCount val="1"/>
                <c:pt idx="0">
                  <c:v>Y-Values</c:v>
                </c:pt>
              </c:strCache>
            </c:strRef>
          </c:tx>
          <c:xVal>
            <c:numRef>
              <c:f>Sheet1!$A$2:$A$4</c:f>
              <c:numCache>
                <c:formatCode>General</c:formatCode>
                <c:ptCount val="3"/>
                <c:pt idx="0">
                  <c:v>0.70000000000000051</c:v>
                </c:pt>
                <c:pt idx="1">
                  <c:v>1.8</c:v>
                </c:pt>
                <c:pt idx="2">
                  <c:v>2.6</c:v>
                </c:pt>
              </c:numCache>
            </c:numRef>
          </c:xVal>
          <c:yVal>
            <c:numRef>
              <c:f>Sheet1!$B$2:$B$4</c:f>
              <c:numCache>
                <c:formatCode>General</c:formatCode>
                <c:ptCount val="3"/>
                <c:pt idx="0">
                  <c:v>2.7</c:v>
                </c:pt>
                <c:pt idx="1">
                  <c:v>3.2</c:v>
                </c:pt>
                <c:pt idx="2">
                  <c:v>0.8</c:v>
                </c:pt>
              </c:numCache>
            </c:numRef>
          </c:yVal>
          <c:bubbleSize>
            <c:numRef>
              <c:f>Sheet1!$C$2:$C$4</c:f>
              <c:numCache>
                <c:formatCode>General</c:formatCode>
                <c:ptCount val="3"/>
                <c:pt idx="0">
                  <c:v>10</c:v>
                </c:pt>
                <c:pt idx="1">
                  <c:v>4</c:v>
                </c:pt>
                <c:pt idx="2">
                  <c:v>8</c:v>
                </c:pt>
              </c:numCache>
            </c:numRef>
          </c:bubbleSize>
          <c:bubble3D val="1"/>
        </c:ser>
        <c:bubbleScale val="100"/>
        <c:axId val="85515648"/>
        <c:axId val="117380224"/>
      </c:bubbleChart>
      <c:valAx>
        <c:axId val="85515648"/>
        <c:scaling>
          <c:orientation val="minMax"/>
        </c:scaling>
        <c:axPos val="b"/>
        <c:numFmt formatCode="General" sourceLinked="1"/>
        <c:tickLblPos val="nextTo"/>
        <c:crossAx val="117380224"/>
        <c:crosses val="autoZero"/>
        <c:crossBetween val="midCat"/>
      </c:valAx>
      <c:valAx>
        <c:axId val="117380224"/>
        <c:scaling>
          <c:orientation val="minMax"/>
        </c:scaling>
        <c:axPos val="l"/>
        <c:majorGridlines/>
        <c:numFmt formatCode="General" sourceLinked="1"/>
        <c:tickLblPos val="nextTo"/>
        <c:crossAx val="85515648"/>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5</cp:revision>
  <dcterms:created xsi:type="dcterms:W3CDTF">2007-09-24T03:17:00Z</dcterms:created>
  <dcterms:modified xsi:type="dcterms:W3CDTF">2007-10-19T04:24:00Z</dcterms:modified>
</cp:coreProperties>
</file>