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F5" w:rsidRDefault="004D5AF5">
      <w:pPr>
        <w:tabs>
          <w:tab w:val="left" w:pos="720"/>
        </w:tabs>
        <w:rPr>
          <w:rFonts w:ascii="Arial" w:hAnsi="Arial" w:cs="Arial"/>
          <w:b/>
          <w:bCs/>
        </w:rPr>
      </w:pPr>
      <w:r>
        <w:rPr>
          <w:rFonts w:ascii="Arial" w:hAnsi="Arial" w:cs="Arial"/>
          <w:b/>
          <w:bCs/>
        </w:rPr>
        <w:t>1.</w:t>
      </w:r>
      <w:r>
        <w:rPr>
          <w:rFonts w:ascii="Arial" w:hAnsi="Arial" w:cs="Arial"/>
          <w:b/>
          <w:bCs/>
        </w:rPr>
        <w:tab/>
        <w:t>Title</w:t>
      </w:r>
    </w:p>
    <w:p w:rsidR="004D5AF5" w:rsidRDefault="004D5AF5">
      <w:pPr>
        <w:tabs>
          <w:tab w:val="left" w:pos="720"/>
        </w:tabs>
        <w:rPr>
          <w:rFonts w:ascii="Arial" w:hAnsi="Arial" w:cs="Arial"/>
        </w:rPr>
      </w:pPr>
    </w:p>
    <w:p w:rsidR="004D5AF5" w:rsidRDefault="004D5AF5">
      <w:pPr>
        <w:tabs>
          <w:tab w:val="left" w:pos="720"/>
        </w:tabs>
        <w:rPr>
          <w:rFonts w:ascii="Arial" w:hAnsi="Arial" w:cs="Arial"/>
        </w:rPr>
      </w:pPr>
      <w:r>
        <w:rPr>
          <w:rFonts w:ascii="Arial" w:hAnsi="Arial" w:cs="Arial"/>
        </w:rPr>
        <w:tab/>
        <w:t>Faculty Role in Educational Policy Formulation</w:t>
      </w:r>
    </w:p>
    <w:p w:rsidR="004D5AF5" w:rsidRDefault="004D5AF5">
      <w:pPr>
        <w:tabs>
          <w:tab w:val="left" w:pos="720"/>
        </w:tabs>
        <w:rPr>
          <w:rFonts w:ascii="Arial" w:hAnsi="Arial" w:cs="Arial"/>
        </w:rPr>
      </w:pPr>
    </w:p>
    <w:p w:rsidR="004D5AF5" w:rsidRDefault="004D5AF5">
      <w:pPr>
        <w:tabs>
          <w:tab w:val="left" w:pos="720"/>
        </w:tabs>
        <w:rPr>
          <w:rFonts w:ascii="Arial" w:hAnsi="Arial" w:cs="Arial"/>
        </w:rPr>
      </w:pPr>
      <w:r>
        <w:rPr>
          <w:rFonts w:ascii="Arial" w:hAnsi="Arial" w:cs="Arial"/>
          <w:b/>
          <w:bCs/>
        </w:rPr>
        <w:t>2.</w:t>
      </w:r>
      <w:r>
        <w:rPr>
          <w:rFonts w:ascii="Arial" w:hAnsi="Arial" w:cs="Arial"/>
          <w:b/>
          <w:bCs/>
        </w:rPr>
        <w:tab/>
        <w:t>Rule and Regulation</w:t>
      </w:r>
    </w:p>
    <w:p w:rsidR="004D5AF5" w:rsidRDefault="004D5AF5">
      <w:pPr>
        <w:tabs>
          <w:tab w:val="left" w:pos="720"/>
        </w:tabs>
        <w:rPr>
          <w:rFonts w:ascii="Arial" w:hAnsi="Arial" w:cs="Arial"/>
        </w:rPr>
      </w:pPr>
    </w:p>
    <w:p w:rsidR="004D5AF5" w:rsidRDefault="004D5AF5">
      <w:pPr>
        <w:pStyle w:val="SubsectionText"/>
        <w:ind w:left="1800" w:hanging="1080"/>
      </w:pPr>
      <w:r>
        <w:t>Sec. 1</w:t>
      </w:r>
      <w:r>
        <w:tab/>
        <w:t>Board Commitment.  The Board</w:t>
      </w:r>
      <w:r w:rsidR="00F632AA">
        <w:t xml:space="preserve"> of Regents</w:t>
      </w:r>
      <w:r>
        <w:t xml:space="preserve"> will devote its best efforts</w:t>
      </w:r>
      <w:r w:rsidR="00F632AA">
        <w:t xml:space="preserve"> to making all of the institutions of The University of</w:t>
      </w:r>
      <w:r>
        <w:t xml:space="preserve"> T</w:t>
      </w:r>
      <w:r w:rsidR="00F632AA">
        <w:t xml:space="preserve">exas </w:t>
      </w:r>
      <w:r w:rsidR="002B78BE">
        <w:t>System</w:t>
      </w:r>
      <w:r>
        <w:t xml:space="preserve"> of the "first class," as the </w:t>
      </w:r>
      <w:r>
        <w:rPr>
          <w:i/>
          <w:iCs/>
        </w:rPr>
        <w:t>Texas Constitution</w:t>
      </w:r>
      <w:r>
        <w:t xml:space="preserve"> directs in </w:t>
      </w:r>
      <w:hyperlink r:id="rId7" w:history="1">
        <w:r w:rsidRPr="001F1CE1">
          <w:rPr>
            <w:rStyle w:val="Hyperlink"/>
          </w:rPr>
          <w:t>Article VII, Section 10</w:t>
        </w:r>
      </w:hyperlink>
      <w:r>
        <w:t xml:space="preserve">.  The Board will be guided in general by the best practices of the top universities in the </w:t>
      </w:r>
      <w:smartTag w:uri="urn:schemas-microsoft-com:office:smarttags" w:element="country-region">
        <w:r>
          <w:t>United States</w:t>
        </w:r>
      </w:smartTag>
      <w:r>
        <w:t xml:space="preserve"> and abroad, especially by the best practices of state universities in the </w:t>
      </w:r>
      <w:smartTag w:uri="urn:schemas-microsoft-com:office:smarttags" w:element="country-region">
        <w:smartTag w:uri="urn:schemas-microsoft-com:office:smarttags" w:element="place">
          <w:r>
            <w:t>United States</w:t>
          </w:r>
        </w:smartTag>
      </w:smartTag>
      <w:r>
        <w:t>.</w:t>
      </w:r>
    </w:p>
    <w:p w:rsidR="004D5AF5" w:rsidRDefault="004D5AF5">
      <w:pPr>
        <w:pStyle w:val="SubsectionHeading"/>
      </w:pPr>
    </w:p>
    <w:p w:rsidR="004D5AF5" w:rsidRDefault="004D5AF5">
      <w:pPr>
        <w:pStyle w:val="SubsectionText"/>
        <w:ind w:left="1800" w:hanging="1080"/>
      </w:pPr>
      <w:r>
        <w:t>Sec. 2</w:t>
      </w:r>
      <w:r>
        <w:tab/>
        <w:t>Advice on Board Policies.  The Board</w:t>
      </w:r>
      <w:r w:rsidR="00F632AA">
        <w:t xml:space="preserve"> of Regents</w:t>
      </w:r>
      <w:r w:rsidR="00D25C7A">
        <w:t xml:space="preserve"> will ordinarily seek the advic</w:t>
      </w:r>
      <w:r w:rsidR="008E78CC">
        <w:t>e of the faculty</w:t>
      </w:r>
      <w:r w:rsidR="000414CD">
        <w:t xml:space="preserve"> on important matters of academic policy.</w:t>
      </w:r>
      <w:r>
        <w:t xml:space="preserve">  </w:t>
      </w:r>
    </w:p>
    <w:p w:rsidR="004D5AF5" w:rsidRDefault="004D5AF5">
      <w:pPr>
        <w:pStyle w:val="SubsectionText"/>
        <w:ind w:left="1800" w:hanging="1080"/>
      </w:pPr>
    </w:p>
    <w:p w:rsidR="004D5AF5" w:rsidRDefault="004D5AF5">
      <w:pPr>
        <w:pStyle w:val="SubsectionText"/>
        <w:ind w:left="1800" w:hanging="1080"/>
      </w:pPr>
      <w:r>
        <w:t>Sec. 3</w:t>
      </w:r>
      <w:r>
        <w:tab/>
        <w:t>General Authority.  Subject to the authority of the Board</w:t>
      </w:r>
      <w:r w:rsidR="00F632AA">
        <w:t xml:space="preserve"> of Regents</w:t>
      </w:r>
      <w:r>
        <w:t xml:space="preserve"> and subject further to the authority that the Board has vested in the various administrative officers and subdivisions of the System, the faculties </w:t>
      </w:r>
      <w:r w:rsidR="00F632AA">
        <w:t>of the</w:t>
      </w:r>
      <w:r>
        <w:t xml:space="preserve"> institutions regularly offering instruction shall have a major role in the governance of their respective institutions in the following areas:</w:t>
      </w:r>
    </w:p>
    <w:p w:rsidR="004D5AF5" w:rsidRDefault="004D5AF5">
      <w:pPr>
        <w:pStyle w:val="SubsectionText"/>
        <w:ind w:left="1800" w:hanging="1080"/>
      </w:pPr>
    </w:p>
    <w:p w:rsidR="004D5AF5" w:rsidRDefault="004D5AF5">
      <w:pPr>
        <w:pStyle w:val="SubsectionText"/>
        <w:numPr>
          <w:ilvl w:val="1"/>
          <w:numId w:val="6"/>
        </w:numPr>
      </w:pPr>
      <w:r>
        <w:t>General academic policies and welfare.</w:t>
      </w:r>
    </w:p>
    <w:p w:rsidR="004D5AF5" w:rsidRDefault="004D5AF5">
      <w:pPr>
        <w:pStyle w:val="Subdivision"/>
        <w:numPr>
          <w:ilvl w:val="1"/>
          <w:numId w:val="6"/>
        </w:numPr>
        <w:tabs>
          <w:tab w:val="clear" w:pos="3240"/>
        </w:tabs>
      </w:pPr>
      <w:r>
        <w:t>Student life and activities.</w:t>
      </w:r>
    </w:p>
    <w:p w:rsidR="004D5AF5" w:rsidRDefault="004D5AF5">
      <w:pPr>
        <w:pStyle w:val="Subdivision"/>
        <w:tabs>
          <w:tab w:val="clear" w:pos="3240"/>
        </w:tabs>
        <w:ind w:left="2520" w:hanging="720"/>
      </w:pPr>
      <w:r>
        <w:t>3.3</w:t>
      </w:r>
      <w:r>
        <w:tab/>
        <w:t>Requirements of admission and graduation.</w:t>
      </w:r>
    </w:p>
    <w:p w:rsidR="004D5AF5" w:rsidRDefault="004D5AF5">
      <w:pPr>
        <w:pStyle w:val="Subdivision"/>
        <w:tabs>
          <w:tab w:val="clear" w:pos="3240"/>
        </w:tabs>
        <w:ind w:left="2520" w:hanging="720"/>
      </w:pPr>
      <w:r>
        <w:t>3.4</w:t>
      </w:r>
      <w:r>
        <w:tab/>
        <w:t>Honors and scholastic performance.</w:t>
      </w:r>
    </w:p>
    <w:p w:rsidR="004D5AF5" w:rsidRDefault="004D5AF5">
      <w:pPr>
        <w:pStyle w:val="Subdivision"/>
        <w:tabs>
          <w:tab w:val="clear" w:pos="3240"/>
        </w:tabs>
        <w:ind w:left="2520" w:hanging="720"/>
      </w:pPr>
      <w:r>
        <w:t>3.5</w:t>
      </w:r>
      <w:r>
        <w:tab/>
        <w:t>Approval of candidates for degrees.</w:t>
      </w:r>
    </w:p>
    <w:p w:rsidR="004D5AF5" w:rsidRDefault="004D5AF5">
      <w:pPr>
        <w:pStyle w:val="SubsectionHeading"/>
        <w:ind w:left="2520" w:hanging="720"/>
      </w:pPr>
      <w:r>
        <w:t>3.6</w:t>
      </w:r>
      <w:r>
        <w:tab/>
        <w:t>Faculty rules of procedure.</w:t>
      </w:r>
    </w:p>
    <w:p w:rsidR="004D5AF5" w:rsidRDefault="004D5AF5">
      <w:pPr>
        <w:pStyle w:val="SubsectionHeading"/>
      </w:pPr>
    </w:p>
    <w:p w:rsidR="004D5AF5" w:rsidRDefault="004D5AF5">
      <w:pPr>
        <w:pStyle w:val="SubsectionText"/>
        <w:ind w:left="1800" w:hanging="1080"/>
      </w:pPr>
      <w:r>
        <w:t>Sec. 4</w:t>
      </w:r>
      <w:r>
        <w:tab/>
        <w:t>Necessity of Approval by Regents.  Legislation recommended by an institutional faculty, or legislative body thereof, requiring approval of the Board</w:t>
      </w:r>
      <w:r w:rsidR="00F632AA">
        <w:t xml:space="preserve"> of Regents</w:t>
      </w:r>
      <w:r>
        <w:t>, shall not be effective unless and until approved by the Board.  Such legislation by a college or school faculty shall no</w:t>
      </w:r>
      <w:r w:rsidR="00172E23">
        <w:t xml:space="preserve">t be presented to the Board </w:t>
      </w:r>
      <w:r>
        <w:t>until it has been approved by the institutional faculty, either directly or through its legislative body, and has received the consideration and recommendation of the institutional president, the appropriate Executive Vice Chancellor, and the Chancellor.  The faculty affected will be notified by the Board, through administrative channels, of its action on recommended faculty legislation.</w:t>
      </w:r>
    </w:p>
    <w:p w:rsidR="00F52C23" w:rsidRDefault="00F52C23">
      <w:pPr>
        <w:pStyle w:val="SubsectionText"/>
        <w:ind w:left="1800" w:hanging="1080"/>
      </w:pPr>
    </w:p>
    <w:p w:rsidR="00F52C23" w:rsidRDefault="00F52C23" w:rsidP="00F52C23">
      <w:pPr>
        <w:pStyle w:val="SubsectionText"/>
        <w:ind w:left="1800" w:hanging="1080"/>
      </w:pPr>
      <w:r>
        <w:lastRenderedPageBreak/>
        <w:t>Sec. 5</w:t>
      </w:r>
      <w:r>
        <w:tab/>
        <w:t xml:space="preserve">Approval of Degree Candidates.  </w:t>
      </w:r>
      <w:r w:rsidRPr="00F52C23">
        <w:t xml:space="preserve">It shall be the duty of the several institutional faculties to recommend approval or disapproval of all candidates for degrees.  This duty may be delegated by affirmative vote of the institutional faculty, or its legislative body, to the respective deans or other appropriate official.  Should </w:t>
      </w:r>
      <w:r>
        <w:t xml:space="preserve">this duty not be delegated, </w:t>
      </w:r>
      <w:r w:rsidRPr="00F52C23">
        <w:t>the institutional registrar, or his or her equivalent, shall furnish to the members of the institutional faculty a complete list of the degree candidates for recommendation.</w:t>
      </w:r>
    </w:p>
    <w:p w:rsidR="00F52C23" w:rsidRDefault="00F52C23" w:rsidP="00F52C23">
      <w:pPr>
        <w:pStyle w:val="SubsectionText"/>
        <w:ind w:left="1800" w:hanging="1080"/>
      </w:pPr>
    </w:p>
    <w:p w:rsidR="00F52C23" w:rsidRDefault="00F52C23" w:rsidP="00F52C23">
      <w:pPr>
        <w:pStyle w:val="SubsectionText"/>
        <w:ind w:left="1800" w:hanging="1080"/>
      </w:pPr>
      <w:r>
        <w:t>Sec. 6</w:t>
      </w:r>
      <w:r>
        <w:tab/>
        <w:t>List of Degree Candidates.  The institutional registrar, as soon as possible after each commencement, shall provide the secretary of his or her institutional faculty, or its legislative body, with a complete list of all successful degree candidates.</w:t>
      </w:r>
    </w:p>
    <w:p w:rsidR="004D5AF5" w:rsidRDefault="004D5AF5">
      <w:pPr>
        <w:pStyle w:val="SubsectionHeading"/>
      </w:pPr>
    </w:p>
    <w:p w:rsidR="004D5AF5" w:rsidRDefault="004D5AF5">
      <w:pPr>
        <w:tabs>
          <w:tab w:val="left" w:pos="720"/>
          <w:tab w:val="left" w:pos="2340"/>
        </w:tabs>
        <w:rPr>
          <w:rFonts w:ascii="Arial" w:hAnsi="Arial" w:cs="Arial"/>
        </w:rPr>
      </w:pPr>
      <w:r>
        <w:rPr>
          <w:rFonts w:ascii="Arial" w:hAnsi="Arial" w:cs="Arial"/>
          <w:b/>
          <w:bCs/>
        </w:rPr>
        <w:t>3.</w:t>
      </w:r>
      <w:r>
        <w:rPr>
          <w:rFonts w:ascii="Arial" w:hAnsi="Arial" w:cs="Arial"/>
          <w:b/>
          <w:bCs/>
        </w:rPr>
        <w:tab/>
        <w:t>Definitions</w:t>
      </w:r>
    </w:p>
    <w:p w:rsidR="004D5AF5" w:rsidRDefault="004D5AF5">
      <w:pPr>
        <w:tabs>
          <w:tab w:val="left" w:pos="720"/>
          <w:tab w:val="left" w:pos="2340"/>
        </w:tabs>
        <w:rPr>
          <w:rFonts w:ascii="Arial" w:hAnsi="Arial" w:cs="Arial"/>
        </w:rPr>
      </w:pPr>
    </w:p>
    <w:p w:rsidR="004D5AF5" w:rsidRDefault="004D5AF5">
      <w:pPr>
        <w:tabs>
          <w:tab w:val="left" w:pos="720"/>
          <w:tab w:val="left" w:pos="2340"/>
        </w:tabs>
        <w:ind w:left="720"/>
        <w:rPr>
          <w:rFonts w:ascii="Arial" w:hAnsi="Arial" w:cs="Arial"/>
        </w:rPr>
      </w:pPr>
      <w:r>
        <w:rPr>
          <w:rFonts w:ascii="Arial" w:hAnsi="Arial" w:cs="Arial"/>
        </w:rPr>
        <w:t>None</w:t>
      </w:r>
    </w:p>
    <w:p w:rsidR="004D5AF5" w:rsidRDefault="004D5AF5">
      <w:pPr>
        <w:tabs>
          <w:tab w:val="left" w:pos="720"/>
          <w:tab w:val="left" w:pos="2340"/>
        </w:tabs>
        <w:ind w:left="720"/>
        <w:rPr>
          <w:rFonts w:ascii="Arial" w:hAnsi="Arial" w:cs="Arial"/>
        </w:rPr>
      </w:pPr>
    </w:p>
    <w:p w:rsidR="004D5AF5" w:rsidRDefault="004D5AF5">
      <w:pPr>
        <w:tabs>
          <w:tab w:val="left" w:pos="720"/>
          <w:tab w:val="left" w:pos="2340"/>
        </w:tabs>
        <w:rPr>
          <w:rFonts w:ascii="Arial" w:hAnsi="Arial" w:cs="Arial"/>
        </w:rPr>
      </w:pPr>
      <w:r>
        <w:rPr>
          <w:rFonts w:ascii="Arial" w:hAnsi="Arial" w:cs="Arial"/>
          <w:b/>
          <w:bCs/>
        </w:rPr>
        <w:t>4.</w:t>
      </w:r>
      <w:r>
        <w:rPr>
          <w:rFonts w:ascii="Arial" w:hAnsi="Arial" w:cs="Arial"/>
          <w:b/>
          <w:bCs/>
        </w:rPr>
        <w:tab/>
        <w:t>Relevant Federal and State Statutes</w:t>
      </w:r>
    </w:p>
    <w:p w:rsidR="004D5AF5" w:rsidRDefault="004D5AF5">
      <w:pPr>
        <w:pStyle w:val="Header"/>
        <w:tabs>
          <w:tab w:val="clear" w:pos="4320"/>
          <w:tab w:val="clear" w:pos="8640"/>
          <w:tab w:val="left" w:pos="720"/>
          <w:tab w:val="left" w:pos="2340"/>
        </w:tabs>
        <w:rPr>
          <w:rFonts w:ascii="Arial" w:hAnsi="Arial" w:cs="Arial"/>
        </w:rPr>
      </w:pPr>
    </w:p>
    <w:p w:rsidR="004D5AF5" w:rsidRDefault="004D5AF5">
      <w:pPr>
        <w:pStyle w:val="Header"/>
        <w:tabs>
          <w:tab w:val="clear" w:pos="4320"/>
          <w:tab w:val="clear" w:pos="8640"/>
          <w:tab w:val="left" w:pos="720"/>
          <w:tab w:val="left" w:pos="2340"/>
        </w:tabs>
        <w:ind w:left="720"/>
        <w:rPr>
          <w:rFonts w:ascii="Arial" w:hAnsi="Arial" w:cs="Arial"/>
        </w:rPr>
      </w:pPr>
      <w:smartTag w:uri="urn:schemas-microsoft-com:office:smarttags" w:element="place">
        <w:smartTag w:uri="urn:schemas-microsoft-com:office:smarttags" w:element="State">
          <w:r>
            <w:rPr>
              <w:rFonts w:ascii="Arial" w:hAnsi="Arial" w:cs="Arial"/>
              <w:i/>
              <w:iCs/>
            </w:rPr>
            <w:t>Texas</w:t>
          </w:r>
        </w:smartTag>
      </w:smartTag>
      <w:r>
        <w:rPr>
          <w:rFonts w:ascii="Arial" w:hAnsi="Arial" w:cs="Arial"/>
          <w:i/>
          <w:iCs/>
        </w:rPr>
        <w:t xml:space="preserve"> Constitution</w:t>
      </w:r>
      <w:r>
        <w:rPr>
          <w:rFonts w:ascii="Arial" w:hAnsi="Arial" w:cs="Arial"/>
        </w:rPr>
        <w:t xml:space="preserve"> </w:t>
      </w:r>
      <w:hyperlink r:id="rId8" w:history="1">
        <w:r w:rsidRPr="001F1CE1">
          <w:rPr>
            <w:rStyle w:val="Hyperlink"/>
            <w:rFonts w:ascii="Arial" w:hAnsi="Arial" w:cs="Arial"/>
          </w:rPr>
          <w:t>Article VII, Section 10</w:t>
        </w:r>
      </w:hyperlink>
      <w:r w:rsidR="001F1CE1">
        <w:rPr>
          <w:rFonts w:ascii="Arial" w:hAnsi="Arial" w:cs="Arial"/>
        </w:rPr>
        <w:t xml:space="preserve"> – Establishment of University</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b/>
          <w:bCs/>
        </w:rPr>
      </w:pPr>
      <w:r>
        <w:rPr>
          <w:rFonts w:ascii="Arial" w:hAnsi="Arial" w:cs="Arial"/>
          <w:b/>
          <w:bCs/>
        </w:rPr>
        <w:t>5.</w:t>
      </w:r>
      <w:r>
        <w:rPr>
          <w:rFonts w:ascii="Arial" w:hAnsi="Arial" w:cs="Arial"/>
          <w:b/>
          <w:bCs/>
        </w:rPr>
        <w:tab/>
        <w:t>Relevant System Policies, Procedures, and Forms</w:t>
      </w:r>
    </w:p>
    <w:p w:rsidR="004D5AF5" w:rsidRDefault="004D5AF5">
      <w:pPr>
        <w:tabs>
          <w:tab w:val="left" w:pos="720"/>
          <w:tab w:val="left" w:pos="2340"/>
        </w:tabs>
        <w:rPr>
          <w:rFonts w:ascii="Arial" w:hAnsi="Arial" w:cs="Arial"/>
          <w:b/>
          <w:bCs/>
        </w:rPr>
      </w:pPr>
    </w:p>
    <w:p w:rsidR="004D5AF5" w:rsidRDefault="004D5AF5">
      <w:pPr>
        <w:tabs>
          <w:tab w:val="left" w:pos="720"/>
          <w:tab w:val="left" w:pos="2340"/>
        </w:tabs>
        <w:rPr>
          <w:rFonts w:ascii="Arial" w:hAnsi="Arial" w:cs="Arial"/>
        </w:rPr>
      </w:pPr>
      <w:r>
        <w:rPr>
          <w:rFonts w:ascii="Arial" w:hAnsi="Arial" w:cs="Arial"/>
          <w:b/>
          <w:bCs/>
        </w:rPr>
        <w:tab/>
      </w:r>
      <w:r>
        <w:rPr>
          <w:rFonts w:ascii="Arial" w:hAnsi="Arial" w:cs="Arial"/>
        </w:rPr>
        <w:t>None</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rPr>
      </w:pPr>
      <w:r>
        <w:rPr>
          <w:rFonts w:ascii="Arial" w:hAnsi="Arial" w:cs="Arial"/>
          <w:b/>
          <w:bCs/>
        </w:rPr>
        <w:t>6.</w:t>
      </w:r>
      <w:r>
        <w:rPr>
          <w:rFonts w:ascii="Arial" w:hAnsi="Arial" w:cs="Arial"/>
          <w:b/>
          <w:bCs/>
        </w:rPr>
        <w:tab/>
        <w:t>Who Should Know</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rPr>
      </w:pPr>
      <w:r>
        <w:rPr>
          <w:rFonts w:ascii="Arial" w:hAnsi="Arial" w:cs="Arial"/>
        </w:rPr>
        <w:tab/>
        <w:t>Administrators</w:t>
      </w:r>
    </w:p>
    <w:p w:rsidR="004D5AF5" w:rsidRDefault="004D5AF5">
      <w:pPr>
        <w:tabs>
          <w:tab w:val="left" w:pos="720"/>
          <w:tab w:val="left" w:pos="2340"/>
        </w:tabs>
        <w:rPr>
          <w:rFonts w:ascii="Arial" w:hAnsi="Arial" w:cs="Arial"/>
        </w:rPr>
      </w:pPr>
      <w:r>
        <w:rPr>
          <w:rFonts w:ascii="Arial" w:hAnsi="Arial" w:cs="Arial"/>
        </w:rPr>
        <w:tab/>
        <w:t>Faculty</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b/>
          <w:bCs/>
        </w:rPr>
      </w:pPr>
      <w:r>
        <w:rPr>
          <w:rFonts w:ascii="Arial" w:hAnsi="Arial" w:cs="Arial"/>
          <w:b/>
          <w:bCs/>
        </w:rPr>
        <w:t>7.</w:t>
      </w:r>
      <w:r>
        <w:rPr>
          <w:rFonts w:ascii="Arial" w:hAnsi="Arial" w:cs="Arial"/>
          <w:b/>
          <w:bCs/>
        </w:rPr>
        <w:tab/>
        <w:t>System Administration Office(s) Responsible for Rule</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rPr>
      </w:pPr>
      <w:r>
        <w:rPr>
          <w:rFonts w:ascii="Arial" w:hAnsi="Arial" w:cs="Arial"/>
        </w:rPr>
        <w:tab/>
        <w:t>Office of Academic Affairs</w:t>
      </w:r>
    </w:p>
    <w:p w:rsidR="004D5AF5" w:rsidRDefault="004D5AF5">
      <w:pPr>
        <w:tabs>
          <w:tab w:val="left" w:pos="720"/>
          <w:tab w:val="left" w:pos="2340"/>
        </w:tabs>
        <w:rPr>
          <w:rFonts w:ascii="Arial" w:hAnsi="Arial" w:cs="Arial"/>
        </w:rPr>
      </w:pPr>
      <w:r>
        <w:rPr>
          <w:rFonts w:ascii="Arial" w:hAnsi="Arial" w:cs="Arial"/>
        </w:rPr>
        <w:tab/>
        <w:t>Office of Health Affairs</w:t>
      </w:r>
    </w:p>
    <w:p w:rsidR="004D5AF5" w:rsidRDefault="004D5AF5">
      <w:pPr>
        <w:tabs>
          <w:tab w:val="left" w:pos="720"/>
          <w:tab w:val="left" w:pos="2340"/>
        </w:tabs>
        <w:rPr>
          <w:rFonts w:ascii="Arial" w:hAnsi="Arial" w:cs="Arial"/>
        </w:rPr>
      </w:pPr>
    </w:p>
    <w:p w:rsidR="004D5AF5" w:rsidRDefault="001F1CE1">
      <w:pPr>
        <w:tabs>
          <w:tab w:val="left" w:pos="720"/>
          <w:tab w:val="left" w:pos="2340"/>
        </w:tabs>
        <w:rPr>
          <w:rFonts w:ascii="Arial" w:hAnsi="Arial" w:cs="Arial"/>
        </w:rPr>
      </w:pPr>
      <w:r>
        <w:rPr>
          <w:rFonts w:ascii="Arial" w:hAnsi="Arial" w:cs="Arial"/>
          <w:b/>
          <w:bCs/>
        </w:rPr>
        <w:t>8</w:t>
      </w:r>
      <w:r w:rsidR="004D5AF5">
        <w:rPr>
          <w:rFonts w:ascii="Arial" w:hAnsi="Arial" w:cs="Arial"/>
          <w:b/>
          <w:bCs/>
        </w:rPr>
        <w:t>.</w:t>
      </w:r>
      <w:r w:rsidR="004D5AF5">
        <w:rPr>
          <w:rFonts w:ascii="Arial" w:hAnsi="Arial" w:cs="Arial"/>
          <w:b/>
          <w:bCs/>
        </w:rPr>
        <w:tab/>
        <w:t>Dates Approved or Amended</w:t>
      </w:r>
    </w:p>
    <w:p w:rsidR="004D5AF5" w:rsidRDefault="004D5AF5">
      <w:pPr>
        <w:tabs>
          <w:tab w:val="left" w:pos="720"/>
          <w:tab w:val="left" w:pos="2340"/>
        </w:tabs>
        <w:rPr>
          <w:rFonts w:ascii="Arial" w:hAnsi="Arial" w:cs="Arial"/>
        </w:rPr>
      </w:pPr>
    </w:p>
    <w:p w:rsidR="004D5AF5" w:rsidRDefault="004D5AF5">
      <w:pPr>
        <w:tabs>
          <w:tab w:val="left" w:pos="720"/>
          <w:tab w:val="left" w:pos="2340"/>
        </w:tabs>
        <w:rPr>
          <w:rFonts w:ascii="Arial" w:hAnsi="Arial" w:cs="Arial"/>
        </w:rPr>
      </w:pPr>
      <w:r>
        <w:rPr>
          <w:rFonts w:ascii="Arial" w:hAnsi="Arial" w:cs="Arial"/>
        </w:rPr>
        <w:tab/>
      </w:r>
      <w:r w:rsidR="002C4185">
        <w:rPr>
          <w:rFonts w:ascii="Arial" w:hAnsi="Arial" w:cs="Arial"/>
        </w:rPr>
        <w:t>December 10</w:t>
      </w:r>
      <w:r>
        <w:rPr>
          <w:rFonts w:ascii="Arial" w:hAnsi="Arial" w:cs="Arial"/>
        </w:rPr>
        <w:t>, 200</w:t>
      </w:r>
      <w:r w:rsidR="004925BA">
        <w:rPr>
          <w:rFonts w:ascii="Arial" w:hAnsi="Arial" w:cs="Arial"/>
        </w:rPr>
        <w:t>4</w:t>
      </w:r>
    </w:p>
    <w:p w:rsidR="004D5AF5" w:rsidRDefault="004D5AF5">
      <w:pPr>
        <w:tabs>
          <w:tab w:val="left" w:pos="720"/>
          <w:tab w:val="left" w:pos="2340"/>
        </w:tabs>
        <w:rPr>
          <w:rFonts w:ascii="Arial" w:hAnsi="Arial" w:cs="Arial"/>
        </w:rPr>
      </w:pPr>
    </w:p>
    <w:p w:rsidR="00172E23" w:rsidRDefault="00172E23">
      <w:pPr>
        <w:tabs>
          <w:tab w:val="left" w:pos="720"/>
          <w:tab w:val="left" w:pos="2340"/>
        </w:tabs>
        <w:rPr>
          <w:rFonts w:ascii="Arial" w:hAnsi="Arial" w:cs="Arial"/>
          <w:b/>
          <w:bCs/>
        </w:rPr>
      </w:pPr>
    </w:p>
    <w:p w:rsidR="00172E23" w:rsidRDefault="00172E23">
      <w:pPr>
        <w:tabs>
          <w:tab w:val="left" w:pos="720"/>
          <w:tab w:val="left" w:pos="2340"/>
        </w:tabs>
        <w:rPr>
          <w:rFonts w:ascii="Arial" w:hAnsi="Arial" w:cs="Arial"/>
          <w:b/>
          <w:bCs/>
        </w:rPr>
      </w:pPr>
    </w:p>
    <w:p w:rsidR="00172E23" w:rsidRDefault="00172E23">
      <w:pPr>
        <w:tabs>
          <w:tab w:val="left" w:pos="720"/>
          <w:tab w:val="left" w:pos="2340"/>
        </w:tabs>
        <w:rPr>
          <w:rFonts w:ascii="Arial" w:hAnsi="Arial" w:cs="Arial"/>
          <w:b/>
          <w:bCs/>
        </w:rPr>
      </w:pPr>
    </w:p>
    <w:p w:rsidR="00172E23" w:rsidRDefault="00172E23">
      <w:pPr>
        <w:tabs>
          <w:tab w:val="left" w:pos="720"/>
          <w:tab w:val="left" w:pos="2340"/>
        </w:tabs>
        <w:rPr>
          <w:rFonts w:ascii="Arial" w:hAnsi="Arial" w:cs="Arial"/>
          <w:b/>
          <w:bCs/>
        </w:rPr>
      </w:pPr>
    </w:p>
    <w:p w:rsidR="004D5AF5" w:rsidRDefault="002C4185">
      <w:pPr>
        <w:tabs>
          <w:tab w:val="left" w:pos="720"/>
          <w:tab w:val="left" w:pos="2340"/>
        </w:tabs>
        <w:rPr>
          <w:rFonts w:ascii="Arial" w:hAnsi="Arial" w:cs="Arial"/>
          <w:b/>
          <w:bCs/>
        </w:rPr>
      </w:pPr>
      <w:r>
        <w:rPr>
          <w:rFonts w:ascii="Arial" w:hAnsi="Arial" w:cs="Arial"/>
          <w:b/>
          <w:bCs/>
        </w:rPr>
        <w:lastRenderedPageBreak/>
        <w:t>9</w:t>
      </w:r>
      <w:r w:rsidR="004D5AF5">
        <w:rPr>
          <w:rFonts w:ascii="Arial" w:hAnsi="Arial" w:cs="Arial"/>
          <w:b/>
          <w:bCs/>
        </w:rPr>
        <w:t>.</w:t>
      </w:r>
      <w:r w:rsidR="004D5AF5">
        <w:rPr>
          <w:rFonts w:ascii="Arial" w:hAnsi="Arial" w:cs="Arial"/>
          <w:b/>
          <w:bCs/>
        </w:rPr>
        <w:tab/>
        <w:t>Contact Information</w:t>
      </w:r>
    </w:p>
    <w:p w:rsidR="004D5AF5" w:rsidRDefault="004D5AF5">
      <w:pPr>
        <w:tabs>
          <w:tab w:val="left" w:pos="720"/>
          <w:tab w:val="left" w:pos="2340"/>
        </w:tabs>
        <w:rPr>
          <w:rFonts w:ascii="Arial" w:hAnsi="Arial" w:cs="Arial"/>
          <w:b/>
          <w:bCs/>
        </w:rPr>
      </w:pPr>
    </w:p>
    <w:p w:rsidR="004D5AF5" w:rsidRDefault="004D5AF5">
      <w:pPr>
        <w:tabs>
          <w:tab w:val="left" w:pos="720"/>
          <w:tab w:val="left" w:pos="2340"/>
        </w:tabs>
        <w:rPr>
          <w:rFonts w:ascii="Arial" w:hAnsi="Arial" w:cs="Arial"/>
        </w:rPr>
      </w:pPr>
      <w:r>
        <w:rPr>
          <w:rFonts w:ascii="Arial" w:hAnsi="Arial" w:cs="Arial"/>
        </w:rPr>
        <w:tab/>
        <w:t>Questions or comments regarding this rule should be directed to:</w:t>
      </w:r>
    </w:p>
    <w:p w:rsidR="004D5AF5" w:rsidRDefault="004D5AF5">
      <w:pPr>
        <w:tabs>
          <w:tab w:val="left" w:pos="720"/>
          <w:tab w:val="left" w:pos="2340"/>
        </w:tabs>
        <w:rPr>
          <w:rFonts w:ascii="Arial" w:hAnsi="Arial" w:cs="Arial"/>
        </w:rPr>
      </w:pPr>
    </w:p>
    <w:p w:rsidR="004D5AF5" w:rsidRDefault="004D5AF5">
      <w:pPr>
        <w:numPr>
          <w:ilvl w:val="0"/>
          <w:numId w:val="7"/>
        </w:numPr>
        <w:tabs>
          <w:tab w:val="left" w:pos="720"/>
          <w:tab w:val="left" w:pos="2340"/>
        </w:tabs>
        <w:rPr>
          <w:rFonts w:ascii="Arial" w:hAnsi="Arial" w:cs="Arial"/>
        </w:rPr>
      </w:pPr>
      <w:hyperlink r:id="rId9" w:history="1">
        <w:r>
          <w:rPr>
            <w:rStyle w:val="Hyperlink"/>
            <w:rFonts w:ascii="Arial" w:hAnsi="Arial" w:cs="Arial"/>
          </w:rPr>
          <w:t>bor@utsystem.edu</w:t>
        </w:r>
      </w:hyperlink>
    </w:p>
    <w:p w:rsidR="004D5AF5" w:rsidRDefault="004D5AF5">
      <w:pPr>
        <w:tabs>
          <w:tab w:val="left" w:pos="720"/>
          <w:tab w:val="left" w:pos="2340"/>
        </w:tabs>
        <w:ind w:left="1080"/>
        <w:rPr>
          <w:rFonts w:ascii="Arial" w:hAnsi="Arial" w:cs="Arial"/>
        </w:rPr>
      </w:pPr>
    </w:p>
    <w:sectPr w:rsidR="004D5AF5">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A1A" w:rsidRDefault="00244A1A">
      <w:r>
        <w:separator/>
      </w:r>
    </w:p>
  </w:endnote>
  <w:endnote w:type="continuationSeparator" w:id="1">
    <w:p w:rsidR="00244A1A" w:rsidRDefault="00244A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E23" w:rsidRDefault="00172E23">
    <w:pPr>
      <w:pStyle w:val="Footer"/>
      <w:rPr>
        <w:rFonts w:ascii="Arial" w:hAnsi="Arial" w:cs="Arial"/>
        <w:b/>
        <w:bCs/>
        <w:sz w:val="22"/>
      </w:rPr>
    </w:pPr>
    <w:r>
      <w:rPr>
        <w:rFonts w:ascii="Arial" w:hAnsi="Arial" w:cs="Arial"/>
        <w:b/>
        <w:bCs/>
        <w:sz w:val="22"/>
        <w:u w:val="single"/>
      </w:rPr>
      <w:tab/>
    </w:r>
    <w:r>
      <w:rPr>
        <w:rFonts w:ascii="Arial" w:hAnsi="Arial" w:cs="Arial"/>
        <w:b/>
        <w:bCs/>
        <w:sz w:val="22"/>
        <w:u w:val="single"/>
      </w:rPr>
      <w:tab/>
    </w:r>
    <w:r>
      <w:rPr>
        <w:rFonts w:ascii="Arial" w:hAnsi="Arial" w:cs="Arial"/>
        <w:b/>
        <w:bCs/>
        <w:sz w:val="22"/>
      </w:rPr>
      <w:tab/>
    </w:r>
  </w:p>
  <w:p w:rsidR="00172E23" w:rsidRDefault="00172E23">
    <w:pPr>
      <w:pStyle w:val="Footer"/>
      <w:rPr>
        <w:rFonts w:ascii="Arial" w:hAnsi="Arial" w:cs="Arial"/>
        <w:b/>
        <w:bCs/>
        <w:sz w:val="22"/>
      </w:rPr>
    </w:pPr>
    <w:r>
      <w:rPr>
        <w:rFonts w:ascii="Arial" w:hAnsi="Arial" w:cs="Arial"/>
        <w:b/>
        <w:bCs/>
        <w:sz w:val="22"/>
      </w:rPr>
      <w:tab/>
    </w:r>
    <w:r>
      <w:rPr>
        <w:rFonts w:ascii="Arial" w:hAnsi="Arial" w:cs="Arial"/>
        <w:b/>
        <w:bCs/>
        <w:sz w:val="22"/>
      </w:rPr>
      <w:tab/>
      <w:t xml:space="preserve">Page </w:t>
    </w:r>
    <w:r>
      <w:rPr>
        <w:rStyle w:val="PageNumber"/>
        <w:b/>
        <w:bCs/>
      </w:rPr>
      <w:fldChar w:fldCharType="begin"/>
    </w:r>
    <w:r>
      <w:rPr>
        <w:rStyle w:val="PageNumber"/>
        <w:b/>
        <w:bCs/>
      </w:rPr>
      <w:instrText xml:space="preserve"> PAGE </w:instrText>
    </w:r>
    <w:r>
      <w:rPr>
        <w:rStyle w:val="PageNumber"/>
        <w:b/>
        <w:bCs/>
      </w:rPr>
      <w:fldChar w:fldCharType="separate"/>
    </w:r>
    <w:r w:rsidR="00E144AE">
      <w:rPr>
        <w:rStyle w:val="PageNumber"/>
        <w:b/>
        <w:bCs/>
        <w:noProof/>
      </w:rPr>
      <w:t>1</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sidR="00E144AE">
      <w:rPr>
        <w:rStyle w:val="PageNumber"/>
        <w:b/>
        <w:bCs/>
        <w:noProof/>
      </w:rPr>
      <w:t>3</w:t>
    </w:r>
    <w:r>
      <w:rPr>
        <w:rStyle w:val="PageNumbe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A1A" w:rsidRDefault="00244A1A">
      <w:r>
        <w:separator/>
      </w:r>
    </w:p>
  </w:footnote>
  <w:footnote w:type="continuationSeparator" w:id="1">
    <w:p w:rsidR="00244A1A" w:rsidRDefault="00244A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E23" w:rsidRDefault="00172E23">
    <w:pPr>
      <w:pStyle w:val="Header"/>
      <w:rPr>
        <w:rFonts w:ascii="Arial" w:hAnsi="Arial" w:cs="Arial"/>
        <w:b/>
        <w:bCs/>
      </w:rPr>
    </w:pPr>
    <w:r>
      <w:rPr>
        <w:rFonts w:ascii="Arial" w:hAnsi="Arial" w:cs="Arial"/>
        <w:b/>
        <w:bCs/>
      </w:rPr>
      <w:t xml:space="preserve">The </w:t>
    </w:r>
    <w:smartTag w:uri="urn:schemas-microsoft-com:office:smarttags" w:element="place">
      <w:smartTag w:uri="urn:schemas-microsoft-com:office:smarttags" w:element="PlaceType">
        <w:r>
          <w:rPr>
            <w:rFonts w:ascii="Arial" w:hAnsi="Arial" w:cs="Arial"/>
            <w:b/>
            <w:bCs/>
          </w:rPr>
          <w:t>University</w:t>
        </w:r>
      </w:smartTag>
      <w:r>
        <w:rPr>
          <w:rFonts w:ascii="Arial" w:hAnsi="Arial" w:cs="Arial"/>
          <w:b/>
          <w:bCs/>
        </w:rPr>
        <w:t xml:space="preserve"> of </w:t>
      </w:r>
      <w:smartTag w:uri="urn:schemas-microsoft-com:office:smarttags" w:element="PlaceName">
        <w:r>
          <w:rPr>
            <w:rFonts w:ascii="Arial" w:hAnsi="Arial" w:cs="Arial"/>
            <w:b/>
            <w:bCs/>
          </w:rPr>
          <w:t>Texas</w:t>
        </w:r>
      </w:smartTag>
    </w:smartTag>
    <w:r>
      <w:rPr>
        <w:rFonts w:ascii="Arial" w:hAnsi="Arial" w:cs="Arial"/>
        <w:b/>
        <w:bCs/>
      </w:rPr>
      <w:t xml:space="preserve"> System</w:t>
    </w:r>
  </w:p>
  <w:p w:rsidR="00172E23" w:rsidRDefault="00172E23">
    <w:pPr>
      <w:pStyle w:val="Header"/>
      <w:rPr>
        <w:rFonts w:ascii="Arial" w:hAnsi="Arial" w:cs="Arial"/>
        <w:b/>
        <w:bCs/>
        <w:u w:val="single"/>
      </w:rPr>
    </w:pPr>
    <w:r>
      <w:rPr>
        <w:rFonts w:ascii="Arial" w:hAnsi="Arial" w:cs="Arial"/>
        <w:b/>
        <w:bCs/>
        <w:u w:val="single"/>
      </w:rPr>
      <w:t>Rules and Regulations of the Board of Regents</w:t>
    </w:r>
    <w:r>
      <w:rPr>
        <w:rFonts w:ascii="Arial" w:hAnsi="Arial" w:cs="Arial"/>
        <w:b/>
        <w:bCs/>
        <w:u w:val="single"/>
      </w:rPr>
      <w:tab/>
      <w:t>Series: 40101</w:t>
    </w:r>
  </w:p>
  <w:p w:rsidR="00172E23" w:rsidRDefault="00172E23">
    <w:pPr>
      <w:pStyle w:val="Header"/>
      <w:rPr>
        <w:rFonts w:ascii="Arial" w:hAnsi="Arial" w:cs="Arial"/>
        <w:b/>
        <w:bCs/>
        <w:u w:val="single"/>
      </w:rPr>
    </w:pPr>
  </w:p>
  <w:p w:rsidR="00172E23" w:rsidRDefault="00172E23">
    <w:pPr>
      <w:pStyle w:val="Header"/>
      <w:rPr>
        <w:rFonts w:ascii="Arial" w:hAnsi="Arial" w:cs="Arial"/>
        <w:b/>
        <w:bCs/>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16908"/>
    <w:multiLevelType w:val="multilevel"/>
    <w:tmpl w:val="3F9A56D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2520"/>
        </w:tabs>
        <w:ind w:left="2520" w:hanging="7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480"/>
        </w:tabs>
        <w:ind w:left="6480" w:hanging="108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440"/>
        </w:tabs>
        <w:ind w:left="10440" w:hanging="144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400"/>
        </w:tabs>
        <w:ind w:left="14400" w:hanging="1800"/>
      </w:pPr>
      <w:rPr>
        <w:rFonts w:hint="default"/>
      </w:rPr>
    </w:lvl>
    <w:lvl w:ilvl="8">
      <w:start w:val="1"/>
      <w:numFmt w:val="decimal"/>
      <w:lvlText w:val="%1.%2.%3.%4.%5.%6.%7.%8.%9"/>
      <w:lvlJc w:val="left"/>
      <w:pPr>
        <w:tabs>
          <w:tab w:val="num" w:pos="16200"/>
        </w:tabs>
        <w:ind w:left="16200" w:hanging="1800"/>
      </w:pPr>
      <w:rPr>
        <w:rFonts w:hint="default"/>
      </w:rPr>
    </w:lvl>
  </w:abstractNum>
  <w:abstractNum w:abstractNumId="1">
    <w:nsid w:val="27A10F47"/>
    <w:multiLevelType w:val="hybridMultilevel"/>
    <w:tmpl w:val="7CA2DB5C"/>
    <w:lvl w:ilvl="0" w:tplc="6824C2D8">
      <w:start w:val="4"/>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nsid w:val="28A33D70"/>
    <w:multiLevelType w:val="hybridMultilevel"/>
    <w:tmpl w:val="6D664D18"/>
    <w:lvl w:ilvl="0" w:tplc="80C68C0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Marlett" w:hAnsi="Marlett"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Marlett" w:hAnsi="Marlett"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Marlett" w:hAnsi="Marlett" w:hint="default"/>
      </w:rPr>
    </w:lvl>
  </w:abstractNum>
  <w:abstractNum w:abstractNumId="3">
    <w:nsid w:val="3AF041CF"/>
    <w:multiLevelType w:val="hybridMultilevel"/>
    <w:tmpl w:val="EB84C94A"/>
    <w:lvl w:ilvl="0" w:tplc="80C68C08">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Marlett" w:hAnsi="Marlett"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Marlett" w:hAnsi="Marlett"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Marlett" w:hAnsi="Marlett" w:hint="default"/>
      </w:rPr>
    </w:lvl>
  </w:abstractNum>
  <w:abstractNum w:abstractNumId="4">
    <w:nsid w:val="40D16467"/>
    <w:multiLevelType w:val="hybridMultilevel"/>
    <w:tmpl w:val="2B466E02"/>
    <w:lvl w:ilvl="0" w:tplc="973C7EC8">
      <w:start w:val="1"/>
      <w:numFmt w:val="decimal"/>
      <w:lvlText w:val="%1."/>
      <w:lvlJc w:val="left"/>
      <w:pPr>
        <w:tabs>
          <w:tab w:val="num" w:pos="1584"/>
        </w:tabs>
        <w:ind w:left="1584" w:hanging="504"/>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7EF4CED"/>
    <w:multiLevelType w:val="hybridMultilevel"/>
    <w:tmpl w:val="E65C11BA"/>
    <w:lvl w:ilvl="0" w:tplc="80C68C08">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Marlett" w:hAnsi="Marlett"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Marlett" w:hAnsi="Marlett"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Marlett" w:hAnsi="Marlett" w:hint="default"/>
      </w:rPr>
    </w:lvl>
  </w:abstractNum>
  <w:abstractNum w:abstractNumId="6">
    <w:nsid w:val="6B3926ED"/>
    <w:multiLevelType w:val="hybridMultilevel"/>
    <w:tmpl w:val="0B0623D2"/>
    <w:lvl w:ilvl="0" w:tplc="4A2E5144">
      <w:start w:val="4"/>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useFELayout/>
  </w:compat>
  <w:rsids>
    <w:rsidRoot w:val="001F2078"/>
    <w:rsid w:val="000014A3"/>
    <w:rsid w:val="000414CD"/>
    <w:rsid w:val="00075E57"/>
    <w:rsid w:val="00076870"/>
    <w:rsid w:val="00084F1F"/>
    <w:rsid w:val="000A2C5A"/>
    <w:rsid w:val="000D2ABE"/>
    <w:rsid w:val="00170F2E"/>
    <w:rsid w:val="00172E23"/>
    <w:rsid w:val="001F1CE1"/>
    <w:rsid w:val="001F2078"/>
    <w:rsid w:val="00244A1A"/>
    <w:rsid w:val="002B78BE"/>
    <w:rsid w:val="002C4185"/>
    <w:rsid w:val="004925BA"/>
    <w:rsid w:val="004D5AF5"/>
    <w:rsid w:val="0057275F"/>
    <w:rsid w:val="005D5198"/>
    <w:rsid w:val="006F5EBD"/>
    <w:rsid w:val="007D033E"/>
    <w:rsid w:val="008B4C8F"/>
    <w:rsid w:val="008E78CC"/>
    <w:rsid w:val="0090486C"/>
    <w:rsid w:val="00B75DED"/>
    <w:rsid w:val="00B93E89"/>
    <w:rsid w:val="00D25C7A"/>
    <w:rsid w:val="00E144AE"/>
    <w:rsid w:val="00E2230B"/>
    <w:rsid w:val="00F52C23"/>
    <w:rsid w:val="00F632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720"/>
      </w:tabs>
      <w:ind w:left="720"/>
      <w:outlineLvl w:val="0"/>
    </w:pPr>
    <w:rPr>
      <w:rFonts w:ascii="Arial" w:hAnsi="Arial" w:cs="Arial"/>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tem">
    <w:name w:val="Item"/>
    <w:basedOn w:val="Normal"/>
    <w:pPr>
      <w:ind w:left="4320" w:hanging="1080"/>
    </w:pPr>
    <w:rPr>
      <w:rFonts w:ascii="Arial" w:hAnsi="Arial"/>
      <w:szCs w:val="20"/>
    </w:rPr>
  </w:style>
  <w:style w:type="paragraph" w:customStyle="1" w:styleId="SubsectionText">
    <w:name w:val="Subsection Text"/>
    <w:basedOn w:val="Normal"/>
    <w:pPr>
      <w:ind w:left="2160"/>
    </w:pPr>
    <w:rPr>
      <w:rFonts w:ascii="Arial" w:hAnsi="Arial"/>
      <w:szCs w:val="20"/>
    </w:rPr>
  </w:style>
  <w:style w:type="character" w:styleId="Hyperlink">
    <w:name w:val="Hyperlink"/>
    <w:basedOn w:val="DefaultParagraphFont"/>
    <w:rPr>
      <w:color w:val="0000FF"/>
      <w:u w:val="single"/>
    </w:rPr>
  </w:style>
  <w:style w:type="character" w:customStyle="1" w:styleId="SectionTitle">
    <w:name w:val="Section Title"/>
    <w:basedOn w:val="DefaultParagraphFont"/>
    <w:autoRedefine/>
    <w:rPr>
      <w:u w:val="single"/>
    </w:rPr>
  </w:style>
  <w:style w:type="paragraph" w:customStyle="1" w:styleId="Subdivision">
    <w:name w:val="Subdivision"/>
    <w:basedOn w:val="SubsectionText"/>
    <w:pPr>
      <w:tabs>
        <w:tab w:val="left" w:pos="3240"/>
      </w:tabs>
      <w:ind w:left="3240" w:hanging="1080"/>
    </w:pPr>
  </w:style>
  <w:style w:type="paragraph" w:customStyle="1" w:styleId="SubdivisionText">
    <w:name w:val="Subdivision Text"/>
    <w:basedOn w:val="SubsectionText"/>
    <w:pPr>
      <w:tabs>
        <w:tab w:val="left" w:pos="4320"/>
      </w:tabs>
      <w:ind w:left="3240"/>
    </w:pPr>
  </w:style>
  <w:style w:type="paragraph" w:styleId="PlainText">
    <w:name w:val="Plain Text"/>
    <w:basedOn w:val="Normal"/>
    <w:rPr>
      <w:rFonts w:ascii="Courier New" w:hAnsi="Courier New" w:cs="Courier New"/>
      <w:sz w:val="20"/>
      <w:szCs w:val="20"/>
    </w:rPr>
  </w:style>
  <w:style w:type="paragraph" w:styleId="BodyTextIndent3">
    <w:name w:val="Body Text Indent 3"/>
    <w:basedOn w:val="Normal"/>
    <w:pPr>
      <w:ind w:left="540" w:hanging="540"/>
    </w:pPr>
    <w:rPr>
      <w:rFonts w:ascii="Arial" w:hAnsi="Arial"/>
      <w:sz w:val="20"/>
      <w:szCs w:val="20"/>
    </w:rPr>
  </w:style>
  <w:style w:type="paragraph" w:customStyle="1" w:styleId="SubsectionHeading">
    <w:name w:val="Subsection  Heading"/>
    <w:basedOn w:val="Normal"/>
    <w:pPr>
      <w:ind w:left="1440"/>
      <w:outlineLvl w:val="2"/>
    </w:pPr>
    <w:rPr>
      <w:rFonts w:ascii="Arial" w:hAnsi="Arial"/>
      <w:szCs w:val="20"/>
    </w:rPr>
  </w:style>
  <w:style w:type="paragraph" w:styleId="BalloonText">
    <w:name w:val="Balloon Text"/>
    <w:basedOn w:val="Normal"/>
    <w:semiHidden/>
    <w:rsid w:val="001F20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1566772">
      <w:bodyDiv w:val="1"/>
      <w:marLeft w:val="0"/>
      <w:marRight w:val="0"/>
      <w:marTop w:val="0"/>
      <w:marBottom w:val="0"/>
      <w:divBdr>
        <w:top w:val="none" w:sz="0" w:space="0" w:color="auto"/>
        <w:left w:val="none" w:sz="0" w:space="0" w:color="auto"/>
        <w:bottom w:val="none" w:sz="0" w:space="0" w:color="auto"/>
        <w:right w:val="none" w:sz="0" w:space="0" w:color="auto"/>
      </w:divBdr>
    </w:div>
    <w:div w:id="18108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lo2.tlc.state.tx.us/txconst/sections/cn000700-00100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lo2.tlc.state.tx.us/txconst/sections/cn000700-00100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or@utsyste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UT System Administration</Company>
  <LinksUpToDate>false</LinksUpToDate>
  <CharactersWithSpaces>3467</CharactersWithSpaces>
  <SharedDoc>false</SharedDoc>
  <HLinks>
    <vt:vector size="18" baseType="variant">
      <vt:variant>
        <vt:i4>2621460</vt:i4>
      </vt:variant>
      <vt:variant>
        <vt:i4>6</vt:i4>
      </vt:variant>
      <vt:variant>
        <vt:i4>0</vt:i4>
      </vt:variant>
      <vt:variant>
        <vt:i4>5</vt:i4>
      </vt:variant>
      <vt:variant>
        <vt:lpwstr>mailto:bor@utsystem.edu</vt:lpwstr>
      </vt:variant>
      <vt:variant>
        <vt:lpwstr/>
      </vt:variant>
      <vt:variant>
        <vt:i4>6094873</vt:i4>
      </vt:variant>
      <vt:variant>
        <vt:i4>3</vt:i4>
      </vt:variant>
      <vt:variant>
        <vt:i4>0</vt:i4>
      </vt:variant>
      <vt:variant>
        <vt:i4>5</vt:i4>
      </vt:variant>
      <vt:variant>
        <vt:lpwstr>http://tlo2.tlc.state.tx.us/txconst/sections/cn000700-001000.html</vt:lpwstr>
      </vt:variant>
      <vt:variant>
        <vt:lpwstr/>
      </vt:variant>
      <vt:variant>
        <vt:i4>6094873</vt:i4>
      </vt:variant>
      <vt:variant>
        <vt:i4>0</vt:i4>
      </vt:variant>
      <vt:variant>
        <vt:i4>0</vt:i4>
      </vt:variant>
      <vt:variant>
        <vt:i4>5</vt:i4>
      </vt:variant>
      <vt:variant>
        <vt:lpwstr>http://tlo2.tlc.state.tx.us/txconst/sections/cn000700-001000.html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AMART</dc:creator>
  <cp:lastModifiedBy>v-lioli</cp:lastModifiedBy>
  <cp:revision>3</cp:revision>
  <cp:lastPrinted>2004-04-27T07:27:00Z</cp:lastPrinted>
  <dcterms:created xsi:type="dcterms:W3CDTF">2007-09-27T06:48:00Z</dcterms:created>
  <dcterms:modified xsi:type="dcterms:W3CDTF">2007-09-27T06:50:00Z</dcterms:modified>
</cp:coreProperties>
</file>