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C1" w:rsidRPr="00551DC1" w:rsidRDefault="007F13A7" w:rsidP="00551DC1">
      <w:r w:rsidRPr="00551DC1">
        <w:t>Geneva Declaration on the Future of the World Intellectual Property Organization</w:t>
      </w:r>
    </w:p>
    <w:p w:rsidR="00551DC1" w:rsidRPr="00551DC1" w:rsidRDefault="00551DC1" w:rsidP="00551DC1"/>
    <w:p w:rsidR="00551DC1" w:rsidRPr="00551DC1" w:rsidRDefault="007F13A7" w:rsidP="00551DC1">
      <w:r w:rsidRPr="00551DC1">
        <w:t xml:space="preserve">Humanity faces a global crisis in the governance of knowledge, technology and culture.  The crisis is manifest in many ways. </w:t>
      </w:r>
    </w:p>
    <w:p w:rsidR="00551DC1" w:rsidRPr="00551DC1" w:rsidRDefault="00551DC1" w:rsidP="00551DC1"/>
    <w:p w:rsidR="00551DC1" w:rsidRPr="00551DC1" w:rsidRDefault="007F13A7" w:rsidP="00551DC1">
      <w:pPr>
        <w:pStyle w:val="ListParagraph"/>
        <w:numPr>
          <w:ilvl w:val="0"/>
          <w:numId w:val="23"/>
        </w:numPr>
        <w:ind w:firstLineChars="0"/>
      </w:pPr>
      <w:r w:rsidRPr="00551DC1">
        <w:t>Without access to essential medicines, millions suffer and die;</w:t>
      </w:r>
    </w:p>
    <w:p w:rsidR="00551DC1" w:rsidRPr="00551DC1" w:rsidRDefault="007F13A7" w:rsidP="00551DC1">
      <w:pPr>
        <w:pStyle w:val="ListParagraph"/>
        <w:numPr>
          <w:ilvl w:val="0"/>
          <w:numId w:val="24"/>
        </w:numPr>
        <w:ind w:firstLineChars="0"/>
      </w:pPr>
      <w:r w:rsidRPr="00551DC1">
        <w:t>Morally repugnant inequality of access to education, knowledge and technology undermines development and social cohesion;</w:t>
      </w:r>
    </w:p>
    <w:p w:rsidR="00551DC1" w:rsidRPr="00551DC1" w:rsidRDefault="007F13A7" w:rsidP="00551DC1">
      <w:pPr>
        <w:pStyle w:val="ListParagraph"/>
        <w:numPr>
          <w:ilvl w:val="0"/>
          <w:numId w:val="25"/>
        </w:numPr>
        <w:ind w:firstLineChars="0"/>
      </w:pPr>
      <w:r w:rsidRPr="00551DC1">
        <w:t>Anticompetitive practices in the knowledge economy impose enormous costs on consumers and retard innovation;</w:t>
      </w:r>
    </w:p>
    <w:p w:rsidR="00551DC1" w:rsidRPr="00551DC1" w:rsidRDefault="007F13A7" w:rsidP="00551DC1">
      <w:pPr>
        <w:pStyle w:val="ListParagraph"/>
        <w:numPr>
          <w:ilvl w:val="0"/>
          <w:numId w:val="26"/>
        </w:numPr>
        <w:ind w:firstLineChars="0"/>
      </w:pPr>
      <w:r w:rsidRPr="00551DC1">
        <w:t>Authors, artists and inventors face mounting barriers to follow-on innovation;</w:t>
      </w:r>
    </w:p>
    <w:p w:rsidR="00551DC1" w:rsidRPr="00551DC1" w:rsidRDefault="007F13A7" w:rsidP="00551DC1">
      <w:pPr>
        <w:pStyle w:val="ListParagraph"/>
        <w:numPr>
          <w:ilvl w:val="0"/>
          <w:numId w:val="27"/>
        </w:numPr>
        <w:ind w:firstLineChars="0"/>
      </w:pPr>
      <w:r w:rsidRPr="00551DC1">
        <w:t>Concentrated ownership and control of knowledge, technology, biological resources and culture harm development, diversity and democratic institutions;</w:t>
      </w:r>
    </w:p>
    <w:p w:rsidR="00551DC1" w:rsidRPr="00551DC1" w:rsidRDefault="007F13A7" w:rsidP="00551DC1">
      <w:pPr>
        <w:pStyle w:val="ListParagraph"/>
        <w:numPr>
          <w:ilvl w:val="0"/>
          <w:numId w:val="28"/>
        </w:numPr>
        <w:ind w:firstLineChars="0"/>
      </w:pPr>
      <w:r w:rsidRPr="00551DC1">
        <w:t>Technological measures designed to enforce intellectual property rights in digital environments threaten core exceptions in copyright laws for disabled persons, libraries, educators, authors and consumers, and undermine privacy and freedom;</w:t>
      </w:r>
    </w:p>
    <w:p w:rsidR="00551DC1" w:rsidRPr="00551DC1" w:rsidRDefault="007F13A7" w:rsidP="00551DC1">
      <w:pPr>
        <w:pStyle w:val="ListParagraph"/>
        <w:numPr>
          <w:ilvl w:val="0"/>
          <w:numId w:val="28"/>
        </w:numPr>
        <w:ind w:firstLineChars="0"/>
      </w:pPr>
      <w:r w:rsidRPr="00551DC1">
        <w:t>Key mechanisms to compensate and support creative individuals and communities are unfair to both creative persons and consumers;</w:t>
      </w:r>
    </w:p>
    <w:p w:rsidR="00551DC1" w:rsidRPr="00551DC1" w:rsidRDefault="007F13A7" w:rsidP="00551DC1">
      <w:pPr>
        <w:pStyle w:val="ListParagraph"/>
        <w:numPr>
          <w:ilvl w:val="0"/>
          <w:numId w:val="28"/>
        </w:numPr>
        <w:ind w:firstLineChars="0"/>
      </w:pPr>
      <w:r w:rsidRPr="00551DC1">
        <w:t xml:space="preserve">Private interests misappropriate social and public goods, and lock up the public domain. </w:t>
      </w:r>
    </w:p>
    <w:p w:rsidR="00551DC1" w:rsidRPr="00FE0E89" w:rsidRDefault="00551DC1" w:rsidP="00551DC1">
      <w:pPr>
        <w:rPr>
          <w:sz w:val="22"/>
        </w:rPr>
      </w:pPr>
    </w:p>
    <w:p w:rsidR="00551DC1" w:rsidRPr="00FE0E89" w:rsidRDefault="00551DC1" w:rsidP="00551DC1">
      <w:pPr>
        <w:suppressAutoHyphens w:val="0"/>
        <w:rPr>
          <w:color w:val="000000"/>
          <w:sz w:val="22"/>
          <w:szCs w:val="20"/>
          <w:lang w:eastAsia="en-US"/>
        </w:rPr>
      </w:pPr>
    </w:p>
    <w:p w:rsidR="00551DC1" w:rsidRPr="00FE0E89" w:rsidRDefault="007F13A7" w:rsidP="00551DC1">
      <w:pPr>
        <w:suppressAutoHyphens w:val="0"/>
        <w:rPr>
          <w:b/>
          <w:i/>
          <w:color w:val="000000"/>
          <w:sz w:val="20"/>
          <w:szCs w:val="20"/>
          <w:lang w:eastAsia="en-US"/>
        </w:rPr>
      </w:pPr>
      <w:r w:rsidRPr="00FE0E89">
        <w:rPr>
          <w:b/>
          <w:color w:val="000000"/>
          <w:sz w:val="20"/>
          <w:szCs w:val="20"/>
          <w:lang w:eastAsia="en-US"/>
        </w:rPr>
        <w:t xml:space="preserve">Signing the Geneva Declaration on the Future of WIPO </w:t>
      </w:r>
      <w:r w:rsidRPr="00FE0E89">
        <w:rPr>
          <w:b/>
          <w:i/>
          <w:color w:val="000000"/>
          <w:sz w:val="20"/>
          <w:szCs w:val="20"/>
          <w:lang w:eastAsia="en-US"/>
        </w:rPr>
        <w:t>(as of September 30, 2004)</w:t>
      </w:r>
    </w:p>
    <w:p w:rsidR="00551DC1" w:rsidRPr="00FE0E89" w:rsidRDefault="00551DC1" w:rsidP="00551DC1">
      <w:pPr>
        <w:suppressAutoHyphens w:val="0"/>
        <w:rPr>
          <w:b/>
          <w:i/>
          <w:color w:val="000000"/>
          <w:sz w:val="20"/>
          <w:szCs w:val="20"/>
          <w:lang w:eastAsia="en-US"/>
        </w:rPr>
      </w:pPr>
    </w:p>
    <w:p w:rsidR="00551DC1" w:rsidRPr="00813483" w:rsidRDefault="00551DC1" w:rsidP="00551DC1">
      <w:pPr>
        <w:numPr>
          <w:ilvl w:val="0"/>
          <w:numId w:val="22"/>
        </w:numPr>
        <w:suppressAutoHyphens w:val="0"/>
        <w:rPr>
          <w:sz w:val="20"/>
        </w:rPr>
        <w:sectPr w:rsidR="00551DC1" w:rsidRPr="00813483">
          <w:footerReference w:type="even" r:id="rId8"/>
          <w:footerReference w:type="default" r:id="rId9"/>
          <w:pgSz w:w="11899" w:h="16838"/>
          <w:pgMar w:top="1440" w:right="1800" w:bottom="1440" w:left="1800" w:header="720" w:footer="720" w:gutter="0"/>
          <w:cols w:space="720"/>
        </w:sectPr>
      </w:pPr>
    </w:p>
    <w:p w:rsidR="00551DC1" w:rsidRPr="00813483" w:rsidRDefault="00F81638" w:rsidP="00551DC1">
      <w:pPr>
        <w:numPr>
          <w:ilvl w:val="0"/>
          <w:numId w:val="22"/>
        </w:numPr>
        <w:suppressAutoHyphens w:val="0"/>
        <w:rPr>
          <w:sz w:val="20"/>
        </w:rPr>
      </w:pPr>
      <w:r>
        <w:rPr>
          <w:rFonts w:eastAsiaTheme="minorEastAsia" w:hint="eastAsia"/>
          <w:sz w:val="20"/>
        </w:rPr>
        <w:lastRenderedPageBreak/>
        <w:t>1</w:t>
      </w:r>
      <w:r w:rsidR="007F13A7" w:rsidRPr="00813483">
        <w:rPr>
          <w:sz w:val="20"/>
        </w:rPr>
        <w:t>Consumers International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Medecins sans Frontieres, Access to Essential Medicines Campaign</w:t>
      </w:r>
    </w:p>
    <w:p w:rsidR="00551DC1" w:rsidRPr="00551DC1" w:rsidRDefault="00F81638" w:rsidP="00551DC1">
      <w:pPr>
        <w:pStyle w:val="ListParagraph"/>
        <w:numPr>
          <w:ilvl w:val="0"/>
          <w:numId w:val="30"/>
        </w:numPr>
        <w:ind w:firstLineChars="0"/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551DC1">
        <w:rPr>
          <w:sz w:val="20"/>
        </w:rPr>
        <w:t>International Federation of Library Associations and Institutions (IFLA)</w:t>
      </w:r>
    </w:p>
    <w:p w:rsidR="00551DC1" w:rsidRPr="00551DC1" w:rsidRDefault="00F81638" w:rsidP="00551DC1">
      <w:pPr>
        <w:pStyle w:val="ListParagraph"/>
        <w:numPr>
          <w:ilvl w:val="0"/>
          <w:numId w:val="31"/>
        </w:numPr>
        <w:ind w:firstLineChars="0"/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551DC1">
        <w:rPr>
          <w:sz w:val="20"/>
        </w:rPr>
        <w:t>Martin Khor, Third World Network</w:t>
      </w:r>
    </w:p>
    <w:p w:rsidR="00551DC1" w:rsidRPr="00551DC1" w:rsidRDefault="00F81638" w:rsidP="00551DC1">
      <w:pPr>
        <w:pStyle w:val="ListParagraph"/>
        <w:numPr>
          <w:ilvl w:val="0"/>
          <w:numId w:val="31"/>
        </w:numPr>
        <w:ind w:firstLineChars="0"/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551DC1">
        <w:rPr>
          <w:sz w:val="20"/>
        </w:rPr>
        <w:t>Cory Doctorow, European Affairs Coordinator, Electronic Frontier Foundation</w:t>
      </w:r>
    </w:p>
    <w:p w:rsidR="00551DC1" w:rsidRPr="00551DC1" w:rsidRDefault="00F81638" w:rsidP="00551DC1">
      <w:pPr>
        <w:pStyle w:val="ListParagraph"/>
        <w:numPr>
          <w:ilvl w:val="0"/>
          <w:numId w:val="31"/>
        </w:numPr>
        <w:ind w:firstLineChars="0"/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551DC1">
        <w:rPr>
          <w:sz w:val="20"/>
        </w:rPr>
        <w:t>Sir John Sulston, Winner of 2002 Nobel Prize for Physiology or Medicine Former Director of the Wellcome Trust Sanger Institute, Cambridge, UK</w:t>
      </w:r>
    </w:p>
    <w:p w:rsidR="00551DC1" w:rsidRPr="00551DC1" w:rsidRDefault="00F81638" w:rsidP="00551DC1">
      <w:pPr>
        <w:pStyle w:val="ListParagraph"/>
        <w:numPr>
          <w:ilvl w:val="0"/>
          <w:numId w:val="31"/>
        </w:numPr>
        <w:ind w:firstLineChars="0"/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551DC1">
        <w:rPr>
          <w:sz w:val="20"/>
        </w:rPr>
        <w:t>Burton Richter, Paul Piggott Professor in the Physical Sciences, Stanford University, Nobel Laureate, Physics, 1976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Paul A. David, Professor of Economics &amp; Senior Fellow of the Stanford Institute for Economic Policy Research, Stanford University, Senior Fellow of the Oxford Internet Institute &amp; Professor Emeritus of Economics and Economic History, University of Oxford, Emeritus Fellow of All Souls College, Oxford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Philippe Aigrain, Founder and CEO, Society for Public Information Spaces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George Konrad, former President of International P.E.N.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Stéphane Hessel, Ambassador of France, Member, International Collegium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Lawrence Lessig, Professor of Law at Stanford Law School, Founder of the Stanford Center for Internet and Society, Chairman of the Creative Commons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Jean Claude Guedon, Professor of Comparative Literature at the University of Montreal, Canada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Bernt Hugenholtz, Professor of Law, Institute for Information Law, University of Amsterdam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Jerome H. Reichman, Bunyan S. Womble Professor of Law, Duke University School of Law, Durham, NC USA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Yochai Benkler, Professor of Law, Yale Law School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William W. Fisher III, Professor, Harvard Law School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James Love, Consumer Project on Technology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Rishab Aiyer Ghosh, MERIT, University of Maastricht, Netherlands.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Trans Atlantic Consumer Dialogue (TACD)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Celine Charveriat, Oxfam International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Alan Cox, Linux Project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Peter Drahos, Professor and Head of Progam, Regulatory Institutions Network, Research School of Social Sciences, Canberra, Australia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lastRenderedPageBreak/>
        <w:t>3</w:t>
      </w:r>
      <w:r w:rsidR="007F13A7" w:rsidRPr="00813483">
        <w:rPr>
          <w:sz w:val="20"/>
        </w:rPr>
        <w:t>Sacha Goldman, Audiovisual Producer, General Secretary, International Collegium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Jean Ann Fox and Mark Silbergeld, Consumer Federation of America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Ed Mierzwinski, Public Interest Research Group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Felix Cohen, Director, Consumentenbond, the Dutch Consumers' Association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Benedicte Federspiel, The Consumer Council, Denmark.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Spring Gombe, Health Action International (HAI)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Roman Macaya, Ph.D., Executive Director, National Chamber of Generic Products, Costa Rica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Professor Michael Geist, Canada Research Chair in Internet and E-commerce Law, University of Ottawa, Faculty of Law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Cliff Bamford, Retired Senior Architect for Internet Operations at Microsoft</w:t>
      </w:r>
    </w:p>
    <w:p w:rsidR="00551DC1" w:rsidRPr="00813483" w:rsidRDefault="00F81638" w:rsidP="00551DC1">
      <w:pPr>
        <w:numPr>
          <w:ilvl w:val="4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5</w:t>
      </w:r>
      <w:r w:rsidR="007F13A7" w:rsidRPr="00813483">
        <w:rPr>
          <w:sz w:val="20"/>
        </w:rPr>
        <w:t>Istvan Rev, Central European University and Open Society Institute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Pamela Samuelson, Chancellor's Professor of Law and Information Management, University of California at Berkeley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Julie E. Cohen, Professor of Law, Georgetown University Law Center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John Howkins, Director, IP Charter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Damien Cirotteau, Media Innovation Unit, Firenze Tecnologia, Firenze, Italy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Robin Gross, IP Justice Executive Director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Dr Tim Hubbard, Head of Human Genome Analysis, Wellcome Trust Sanger Institute, Cambridge, UK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Dr. Volker Grassmuck, Helmholtz-Zentrum fuer Kulturtechnik, Humboldt University, Berlin, co-founder of privatkopie.net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Richard Elliott, Director of Legal Research &amp; Policy Canadian HIV/AIDS Legal Network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Mr. B.K. Keayla, Convenor, National Working Group on Patent Laws, New Delhi, India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American Library Association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American Association of Law Libraries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Association of Research Libraries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Special Libraries Association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Dr Graham Dutfield, Herchel Smith Senior Research Fellow, Queen Mary Intellectual Property Research Institute, Centre for Commercial Law Studies, Queen Mary, University of London, U.K.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Mike Godwin, Legal Director, Public Knowledge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Professor Kevin Outterson, West Virginia University College of Law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Ken McEldowney, Executive Director, Consumer Action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Robert Weissman, Director, Essential Action</w:t>
      </w:r>
    </w:p>
    <w:p w:rsidR="00551DC1" w:rsidRPr="00813483" w:rsidRDefault="00F81638" w:rsidP="00551DC1">
      <w:pPr>
        <w:numPr>
          <w:ilvl w:val="3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4</w:t>
      </w:r>
      <w:r w:rsidR="007F13A7" w:rsidRPr="00813483">
        <w:rPr>
          <w:sz w:val="20"/>
        </w:rPr>
        <w:t>Nicola Ballenden, Senior Health Policy Officer, Australian Consumers' Association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Pedro de Paranagua Moniz - IDCID International Trade Law and Development Institute - Brazil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Brian Kahin, Visiting Professor, School of Information, Ford School of Public Policy and Department of Communication Studies, University of Michigan</w:t>
      </w:r>
    </w:p>
    <w:p w:rsidR="00551DC1" w:rsidRPr="00813483" w:rsidRDefault="00F81638" w:rsidP="00551DC1">
      <w:pPr>
        <w:numPr>
          <w:ilvl w:val="2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3</w:t>
      </w:r>
      <w:r w:rsidR="007F13A7" w:rsidRPr="00813483">
        <w:rPr>
          <w:sz w:val="20"/>
        </w:rPr>
        <w:t>Professor Michael H. Davis, Progressive Intellectual Property Law Association, Cleveland, Ohio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Dean Baker, Co-Director, the Center for Economic and Policy Research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Michelle Munro, Policy and Program Advisor, HIV/AIDS and Health, CARE Canada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Ville Oksanen, Chairman, Electronic Frontier Finland</w:t>
      </w:r>
    </w:p>
    <w:p w:rsidR="00551DC1" w:rsidRPr="00813483" w:rsidRDefault="00F81638" w:rsidP="00551DC1">
      <w:pPr>
        <w:numPr>
          <w:ilvl w:val="1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2</w:t>
      </w:r>
      <w:r w:rsidR="007F13A7" w:rsidRPr="00813483">
        <w:rPr>
          <w:sz w:val="20"/>
        </w:rPr>
        <w:t>N. H. Israni, Chairman - IPR Committee, Indian Drug Manufacturers'Association</w:t>
      </w:r>
    </w:p>
    <w:p w:rsidR="00551DC1" w:rsidRPr="00813483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Bruno Berthelet, Bureau d'Etudes en Génie Informatique, Hasgard</w:t>
      </w:r>
    </w:p>
    <w:p w:rsidR="00551DC1" w:rsidRPr="00F81638" w:rsidRDefault="00F81638" w:rsidP="00551DC1">
      <w:pPr>
        <w:numPr>
          <w:ilvl w:val="0"/>
          <w:numId w:val="21"/>
        </w:numPr>
        <w:rPr>
          <w:sz w:val="20"/>
        </w:rPr>
      </w:pPr>
      <w:r>
        <w:rPr>
          <w:rFonts w:eastAsiaTheme="minorEastAsia" w:hint="eastAsia"/>
          <w:sz w:val="20"/>
        </w:rPr>
        <w:t>1</w:t>
      </w:r>
      <w:r w:rsidR="007F13A7" w:rsidRPr="00813483">
        <w:rPr>
          <w:sz w:val="20"/>
        </w:rPr>
        <w:t>Marko Ulvila, Coalition for Environment and Development, Finland</w:t>
      </w:r>
    </w:p>
    <w:p w:rsidR="00F81638" w:rsidRDefault="00F81638" w:rsidP="00F81638">
      <w:pPr>
        <w:rPr>
          <w:rFonts w:eastAsiaTheme="minorEastAsia"/>
          <w:sz w:val="20"/>
        </w:rPr>
      </w:pPr>
    </w:p>
    <w:p w:rsidR="00F81638" w:rsidRDefault="00F81638" w:rsidP="00F81638">
      <w:pPr>
        <w:rPr>
          <w:rFonts w:eastAsiaTheme="minorEastAsia"/>
          <w:sz w:val="20"/>
        </w:rPr>
      </w:pPr>
    </w:p>
    <w:p w:rsidR="00F81638" w:rsidRPr="00813483" w:rsidRDefault="00F81638" w:rsidP="00F81638">
      <w:pPr>
        <w:rPr>
          <w:sz w:val="20"/>
        </w:rPr>
      </w:pP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Vera Franz, Information Program, Open Society Institute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Darius Cuplinskas, Information Program, Open Society Institute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Veni Markovski, Chairman of the Board, Internet Society - Bulgaria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Andreas Dietl, EU Affairs Director, European Digital Rights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lastRenderedPageBreak/>
        <w:t>Daniel de Beer, Researcher, Vrij Universiteit Brussel, Belgium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Marlyn Tadros, Ph.D., Executive Director, Virtual Activism - Center for Knowledge Society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Enrique A. Chaparro, IFIP TC11 &amp; Fundacion Via Libre, Buenos Aires, Argentina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San Patten, MSc., Community-Based Research Coordinator, Alberta Community Council on HIV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Martin Olivera, Asociáte a SOLAR! Software Libre Argentina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Mr Chr.A. Alberdingk Thijm, SOLV Advocaten</w:t>
      </w:r>
    </w:p>
    <w:p w:rsidR="00551DC1" w:rsidRPr="00813483" w:rsidRDefault="007F13A7" w:rsidP="00551DC1">
      <w:pPr>
        <w:numPr>
          <w:ilvl w:val="0"/>
          <w:numId w:val="21"/>
        </w:numPr>
        <w:rPr>
          <w:sz w:val="20"/>
        </w:rPr>
      </w:pPr>
      <w:r w:rsidRPr="00813483">
        <w:rPr>
          <w:sz w:val="20"/>
        </w:rPr>
        <w:t>DeeDee Halleck, Deep Dish Satellite Network</w:t>
      </w:r>
    </w:p>
    <w:p w:rsidR="00551DC1" w:rsidRPr="001F2A0E" w:rsidRDefault="00551DC1" w:rsidP="00401E5F">
      <w:pPr>
        <w:ind w:left="360"/>
        <w:rPr>
          <w:color w:val="000000"/>
          <w:sz w:val="20"/>
          <w:szCs w:val="20"/>
          <w:lang w:eastAsia="en-US"/>
        </w:rPr>
      </w:pPr>
    </w:p>
    <w:sectPr w:rsidR="00551DC1" w:rsidRPr="001F2A0E" w:rsidSect="00551DC1">
      <w:type w:val="continuous"/>
      <w:pgSz w:w="11899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B85" w:rsidRDefault="00834B85">
      <w:r>
        <w:separator/>
      </w:r>
    </w:p>
  </w:endnote>
  <w:endnote w:type="continuationSeparator" w:id="1">
    <w:p w:rsidR="00834B85" w:rsidRDefault="00834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tarSymbol">
    <w:altName w:val="ヒラギノ角ゴ Pro W3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C1" w:rsidRDefault="00735FC7" w:rsidP="00551D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1DC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1DC1" w:rsidRDefault="00551DC1" w:rsidP="00551DC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DC1" w:rsidRDefault="00735FC7" w:rsidP="00551D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1D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E5F">
      <w:rPr>
        <w:rStyle w:val="PageNumber"/>
        <w:noProof/>
      </w:rPr>
      <w:t>1</w:t>
    </w:r>
    <w:r>
      <w:rPr>
        <w:rStyle w:val="PageNumber"/>
      </w:rPr>
      <w:fldChar w:fldCharType="end"/>
    </w:r>
  </w:p>
  <w:p w:rsidR="00551DC1" w:rsidRDefault="00551DC1" w:rsidP="00551DC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B85" w:rsidRDefault="00834B85">
      <w:r>
        <w:separator/>
      </w:r>
    </w:p>
  </w:footnote>
  <w:footnote w:type="continuationSeparator" w:id="1">
    <w:p w:rsidR="00834B85" w:rsidRDefault="00834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BF"/>
      </v:shape>
    </w:pict>
  </w:numPicBullet>
  <w:numPicBullet w:numPicBulletId="1">
    <w:pict>
      <v:shape id="_x0000_i1030" type="#_x0000_t75" style="width:9pt;height:9pt" o:bullet="t">
        <v:imagedata r:id="rId2" o:title="BD10254_"/>
      </v:shape>
    </w:pict>
  </w:numPicBullet>
  <w:numPicBullet w:numPicBulletId="2">
    <w:pict>
      <v:shape id="_x0000_i1031" type="#_x0000_t75" style="width:11.25pt;height:11.25pt" o:bullet="t">
        <v:imagedata r:id="rId3" o:title="BD14790_"/>
      </v:shape>
    </w:pict>
  </w:numPicBullet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MS Minch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MS Mincho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MS Mincho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MS Mincho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MS Mincho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MS Mincho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MS Mincho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MS Mincho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MS Mincho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MS Minch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MS Mincho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MS Mincho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MS Mincho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MS Mincho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MS Mincho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MS Mincho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MS Mincho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MS Mincho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1524C74"/>
    <w:multiLevelType w:val="hybridMultilevel"/>
    <w:tmpl w:val="E2822FCA"/>
    <w:lvl w:ilvl="0" w:tplc="00010409">
      <w:start w:val="1"/>
      <w:numFmt w:val="bullet"/>
      <w:lvlText w:val=""/>
      <w:lvlJc w:val="left"/>
      <w:pPr>
        <w:tabs>
          <w:tab w:val="num" w:pos="466"/>
        </w:tabs>
        <w:ind w:left="46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186"/>
        </w:tabs>
        <w:ind w:left="118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06"/>
        </w:tabs>
        <w:ind w:left="190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26"/>
        </w:tabs>
        <w:ind w:left="262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</w:abstractNum>
  <w:abstractNum w:abstractNumId="6">
    <w:nsid w:val="053F5F42"/>
    <w:multiLevelType w:val="hybridMultilevel"/>
    <w:tmpl w:val="6966DB24"/>
    <w:lvl w:ilvl="0" w:tplc="12A489BA">
      <w:start w:val="1"/>
      <w:numFmt w:val="bullet"/>
      <w:lvlText w:val="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05ED1063"/>
    <w:multiLevelType w:val="hybridMultilevel"/>
    <w:tmpl w:val="A3EE87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7A85A01"/>
    <w:multiLevelType w:val="hybridMultilevel"/>
    <w:tmpl w:val="1D302886"/>
    <w:lvl w:ilvl="0" w:tplc="12A489BA">
      <w:start w:val="1"/>
      <w:numFmt w:val="bullet"/>
      <w:lvlText w:val="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17D1CB3"/>
    <w:multiLevelType w:val="multilevel"/>
    <w:tmpl w:val="716CCBBC"/>
    <w:lvl w:ilvl="0">
      <w:start w:val="1"/>
      <w:numFmt w:val="bullet"/>
      <w:lvlText w:val=""/>
      <w:lvlJc w:val="left"/>
      <w:pPr>
        <w:tabs>
          <w:tab w:val="num" w:pos="466"/>
        </w:tabs>
        <w:ind w:left="4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86"/>
        </w:tabs>
        <w:ind w:left="118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06"/>
        </w:tabs>
        <w:ind w:left="19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26"/>
        </w:tabs>
        <w:ind w:left="26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</w:abstractNum>
  <w:abstractNum w:abstractNumId="10">
    <w:nsid w:val="11897813"/>
    <w:multiLevelType w:val="hybridMultilevel"/>
    <w:tmpl w:val="8BF6C2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55806C7"/>
    <w:multiLevelType w:val="hybridMultilevel"/>
    <w:tmpl w:val="6E2867C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265908"/>
    <w:multiLevelType w:val="hybridMultilevel"/>
    <w:tmpl w:val="B8901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716B8F"/>
    <w:multiLevelType w:val="hybridMultilevel"/>
    <w:tmpl w:val="20B419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C395FE1"/>
    <w:multiLevelType w:val="hybridMultilevel"/>
    <w:tmpl w:val="E5E05E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ED3A25"/>
    <w:multiLevelType w:val="hybridMultilevel"/>
    <w:tmpl w:val="B49C72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AB6F2B"/>
    <w:multiLevelType w:val="hybridMultilevel"/>
    <w:tmpl w:val="34EC8A7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957D43"/>
    <w:multiLevelType w:val="hybridMultilevel"/>
    <w:tmpl w:val="804C529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976530"/>
    <w:multiLevelType w:val="hybridMultilevel"/>
    <w:tmpl w:val="CDB892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3F74E2A"/>
    <w:multiLevelType w:val="hybridMultilevel"/>
    <w:tmpl w:val="8DD0DC70"/>
    <w:lvl w:ilvl="0" w:tplc="56741024">
      <w:start w:val="1"/>
      <w:numFmt w:val="bullet"/>
      <w:lvlText w:val="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A462442"/>
    <w:multiLevelType w:val="hybridMultilevel"/>
    <w:tmpl w:val="779C1F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B332655"/>
    <w:multiLevelType w:val="hybridMultilevel"/>
    <w:tmpl w:val="EE64FDC6"/>
    <w:lvl w:ilvl="0" w:tplc="A4D4C4B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8A78E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D52178"/>
    <w:multiLevelType w:val="hybridMultilevel"/>
    <w:tmpl w:val="7B863E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0FD5198"/>
    <w:multiLevelType w:val="multilevel"/>
    <w:tmpl w:val="83AA96E8"/>
    <w:lvl w:ilvl="0">
      <w:start w:val="1"/>
      <w:numFmt w:val="bullet"/>
      <w:lvlText w:val=""/>
      <w:lvlJc w:val="left"/>
      <w:pPr>
        <w:tabs>
          <w:tab w:val="num" w:pos="466"/>
        </w:tabs>
        <w:ind w:left="4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86"/>
        </w:tabs>
        <w:ind w:left="118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06"/>
        </w:tabs>
        <w:ind w:left="19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26"/>
        </w:tabs>
        <w:ind w:left="26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</w:abstractNum>
  <w:abstractNum w:abstractNumId="24">
    <w:nsid w:val="541A3731"/>
    <w:multiLevelType w:val="hybridMultilevel"/>
    <w:tmpl w:val="D070E33A"/>
    <w:lvl w:ilvl="0" w:tplc="56741024">
      <w:start w:val="1"/>
      <w:numFmt w:val="bullet"/>
      <w:lvlText w:val="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90009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003040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B642185"/>
    <w:multiLevelType w:val="hybridMultilevel"/>
    <w:tmpl w:val="49EAE68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BE16A44"/>
    <w:multiLevelType w:val="hybridMultilevel"/>
    <w:tmpl w:val="F2ECC73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ED35F19"/>
    <w:multiLevelType w:val="hybridMultilevel"/>
    <w:tmpl w:val="63F2965A"/>
    <w:lvl w:ilvl="0" w:tplc="04090003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26C6FB1"/>
    <w:multiLevelType w:val="hybridMultilevel"/>
    <w:tmpl w:val="37F6496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4367D5C"/>
    <w:multiLevelType w:val="hybridMultilevel"/>
    <w:tmpl w:val="F30A5E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BE0E9E"/>
    <w:multiLevelType w:val="hybridMultilevel"/>
    <w:tmpl w:val="A1408D74"/>
    <w:lvl w:ilvl="0" w:tplc="2C529A2C">
      <w:start w:val="1"/>
      <w:numFmt w:val="bullet"/>
      <w:lvlText w:val="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7"/>
  </w:num>
  <w:num w:numId="7">
    <w:abstractNumId w:val="12"/>
  </w:num>
  <w:num w:numId="8">
    <w:abstractNumId w:val="21"/>
  </w:num>
  <w:num w:numId="9">
    <w:abstractNumId w:val="10"/>
  </w:num>
  <w:num w:numId="10">
    <w:abstractNumId w:val="26"/>
  </w:num>
  <w:num w:numId="11">
    <w:abstractNumId w:val="28"/>
  </w:num>
  <w:num w:numId="12">
    <w:abstractNumId w:val="11"/>
  </w:num>
  <w:num w:numId="13">
    <w:abstractNumId w:val="25"/>
  </w:num>
  <w:num w:numId="14">
    <w:abstractNumId w:val="17"/>
  </w:num>
  <w:num w:numId="15">
    <w:abstractNumId w:val="7"/>
  </w:num>
  <w:num w:numId="16">
    <w:abstractNumId w:val="29"/>
  </w:num>
  <w:num w:numId="17">
    <w:abstractNumId w:val="5"/>
  </w:num>
  <w:num w:numId="18">
    <w:abstractNumId w:val="16"/>
  </w:num>
  <w:num w:numId="19">
    <w:abstractNumId w:val="9"/>
  </w:num>
  <w:num w:numId="20">
    <w:abstractNumId w:val="23"/>
  </w:num>
  <w:num w:numId="21">
    <w:abstractNumId w:val="24"/>
  </w:num>
  <w:num w:numId="22">
    <w:abstractNumId w:val="19"/>
  </w:num>
  <w:num w:numId="23">
    <w:abstractNumId w:val="22"/>
  </w:num>
  <w:num w:numId="24">
    <w:abstractNumId w:val="15"/>
  </w:num>
  <w:num w:numId="25">
    <w:abstractNumId w:val="14"/>
  </w:num>
  <w:num w:numId="26">
    <w:abstractNumId w:val="20"/>
  </w:num>
  <w:num w:numId="27">
    <w:abstractNumId w:val="13"/>
  </w:num>
  <w:num w:numId="28">
    <w:abstractNumId w:val="18"/>
  </w:num>
  <w:num w:numId="29">
    <w:abstractNumId w:val="6"/>
  </w:num>
  <w:num w:numId="30">
    <w:abstractNumId w:val="8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02A"/>
    <w:rsid w:val="0014502A"/>
    <w:rsid w:val="003F4240"/>
    <w:rsid w:val="00401E5F"/>
    <w:rsid w:val="00551DC1"/>
    <w:rsid w:val="00627383"/>
    <w:rsid w:val="00735FC7"/>
    <w:rsid w:val="007C0502"/>
    <w:rsid w:val="007F13A7"/>
    <w:rsid w:val="00834B85"/>
    <w:rsid w:val="00F8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240"/>
    <w:pPr>
      <w:suppressAutoHyphens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3F4240"/>
    <w:pPr>
      <w:keepNext/>
      <w:tabs>
        <w:tab w:val="num" w:pos="0"/>
      </w:tabs>
      <w:ind w:right="720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F4240"/>
    <w:rPr>
      <w:rFonts w:ascii="Symbol" w:hAnsi="Symbol"/>
    </w:rPr>
  </w:style>
  <w:style w:type="character" w:customStyle="1" w:styleId="WW8Num2z1">
    <w:name w:val="WW8Num2z1"/>
    <w:rsid w:val="003F4240"/>
    <w:rPr>
      <w:rFonts w:ascii="Courier New" w:hAnsi="Courier New" w:cs="Lucida Grande"/>
    </w:rPr>
  </w:style>
  <w:style w:type="character" w:customStyle="1" w:styleId="WW8Num2z2">
    <w:name w:val="WW8Num2z2"/>
    <w:rsid w:val="003F4240"/>
    <w:rPr>
      <w:rFonts w:ascii="Wingdings" w:hAnsi="Wingdings"/>
    </w:rPr>
  </w:style>
  <w:style w:type="character" w:customStyle="1" w:styleId="WW-DefaultParagraphFont">
    <w:name w:val="WW-Default Paragraph Font"/>
    <w:rsid w:val="003F4240"/>
  </w:style>
  <w:style w:type="character" w:customStyle="1" w:styleId="Puces">
    <w:name w:val="Puces"/>
    <w:rsid w:val="003F4240"/>
    <w:rPr>
      <w:rFonts w:ascii="StarSymbol" w:eastAsia="StarSymbol" w:hAnsi="StarSymbol" w:cs="StarSymbol"/>
      <w:sz w:val="18"/>
      <w:szCs w:val="18"/>
    </w:rPr>
  </w:style>
  <w:style w:type="character" w:customStyle="1" w:styleId="Caractresdenumrotation">
    <w:name w:val="Caractères de numérotation"/>
    <w:rsid w:val="003F4240"/>
  </w:style>
  <w:style w:type="paragraph" w:styleId="BodyText">
    <w:name w:val="Body Text"/>
    <w:basedOn w:val="Normal"/>
    <w:rsid w:val="003F4240"/>
    <w:pPr>
      <w:spacing w:after="120"/>
    </w:pPr>
  </w:style>
  <w:style w:type="paragraph" w:styleId="List">
    <w:name w:val="List"/>
    <w:basedOn w:val="BodyText"/>
    <w:rsid w:val="003F4240"/>
    <w:rPr>
      <w:rFonts w:cs="Tahoma"/>
    </w:rPr>
  </w:style>
  <w:style w:type="paragraph" w:customStyle="1" w:styleId="Lgende">
    <w:name w:val="Légende"/>
    <w:basedOn w:val="Normal"/>
    <w:rsid w:val="003F424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Rpertoire">
    <w:name w:val="Répertoire"/>
    <w:basedOn w:val="Normal"/>
    <w:rsid w:val="003F4240"/>
    <w:pPr>
      <w:suppressLineNumbers/>
    </w:pPr>
    <w:rPr>
      <w:rFonts w:cs="Tahoma"/>
    </w:rPr>
  </w:style>
  <w:style w:type="paragraph" w:customStyle="1" w:styleId="Titre">
    <w:name w:val="Titre"/>
    <w:basedOn w:val="Normal"/>
    <w:next w:val="BodyText"/>
    <w:rsid w:val="003F4240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customStyle="1" w:styleId="17">
    <w:name w:val="_17"/>
    <w:rsid w:val="003F4240"/>
    <w:pPr>
      <w:widowControl w:val="0"/>
      <w:suppressAutoHyphens/>
      <w:autoSpaceDE w:val="0"/>
      <w:jc w:val="both"/>
    </w:pPr>
    <w:rPr>
      <w:rFonts w:eastAsia="Times New Roman"/>
      <w:sz w:val="24"/>
      <w:szCs w:val="24"/>
    </w:rPr>
  </w:style>
  <w:style w:type="paragraph" w:customStyle="1" w:styleId="WW-BlockText">
    <w:name w:val="WW-Block Text"/>
    <w:basedOn w:val="Normal"/>
    <w:rsid w:val="003F4240"/>
    <w:pPr>
      <w:ind w:left="720" w:right="720"/>
      <w:jc w:val="both"/>
    </w:pPr>
  </w:style>
  <w:style w:type="paragraph" w:customStyle="1" w:styleId="WW-BalloonText">
    <w:name w:val="WW-Balloon Text"/>
    <w:basedOn w:val="Normal"/>
    <w:rsid w:val="003F424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230E5"/>
    <w:rPr>
      <w:color w:val="0000FF"/>
      <w:u w:val="single"/>
    </w:rPr>
  </w:style>
  <w:style w:type="paragraph" w:customStyle="1" w:styleId="TitleofDoc">
    <w:name w:val="Title of Doc"/>
    <w:basedOn w:val="Normal"/>
    <w:rsid w:val="003230E5"/>
    <w:pPr>
      <w:suppressAutoHyphens w:val="0"/>
      <w:spacing w:before="1200"/>
      <w:jc w:val="center"/>
    </w:pPr>
    <w:rPr>
      <w:caps/>
      <w:szCs w:val="20"/>
      <w:lang w:eastAsia="en-US"/>
    </w:rPr>
  </w:style>
  <w:style w:type="paragraph" w:styleId="Footer">
    <w:name w:val="footer"/>
    <w:basedOn w:val="Normal"/>
    <w:semiHidden/>
    <w:rsid w:val="00717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7A37"/>
  </w:style>
  <w:style w:type="paragraph" w:styleId="ListParagraph">
    <w:name w:val="List Paragraph"/>
    <w:basedOn w:val="Normal"/>
    <w:uiPriority w:val="34"/>
    <w:qFormat/>
    <w:rsid w:val="00551D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316AA-FAEC-4566-9B33-2158E87D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Geneva Declaration on the Future of WIPO</vt:lpstr>
    </vt:vector>
  </TitlesOfParts>
  <Manager/>
  <Company>Many individuals and communities</Company>
  <LinksUpToDate>false</LinksUpToDate>
  <CharactersWithSpaces>6734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Geneva Declaration on the Future of WIPO</dc:title>
  <dc:subject/>
  <dc:creator>Many persons</dc:creator>
  <cp:keywords/>
  <dc:description/>
  <cp:lastModifiedBy>v-zhdu</cp:lastModifiedBy>
  <cp:revision>4</cp:revision>
  <cp:lastPrinted>2004-09-30T23:15:00Z</cp:lastPrinted>
  <dcterms:created xsi:type="dcterms:W3CDTF">2007-09-17T08:18:00Z</dcterms:created>
  <dcterms:modified xsi:type="dcterms:W3CDTF">2007-11-07T03:56:00Z</dcterms:modified>
  <cp:category/>
</cp:coreProperties>
</file>