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dxa"/>
        <w:tblLook w:val="04A0"/>
      </w:tblPr>
      <w:tblGrid>
        <w:gridCol w:w="9576"/>
      </w:tblGrid>
      <w:tr>
        <w:trPr>
          <w:cantSplit/>
          <w:trHeight w:hRule="exact" w:val="6120"/>
        </w:trPr>
        <w:tc>
          <w:tcPr>
            <w:tcW w:w="9576" w:type="dxa"/>
          </w:tcPr>
          <w:tbl>
            <w:tblPr>
              <w:tblStyle w:val="TableGrid"/>
              <w:tblpPr w:leftFromText="187" w:rightFromText="187" w:vertAnchor="text" w:tblpY="174"/>
              <w:tblW w:w="0" w:type="auto"/>
              <w:tblLook w:val="04A0"/>
            </w:tblPr>
            <w:tblGrid>
              <w:gridCol w:w="1869"/>
              <w:gridCol w:w="1869"/>
              <w:gridCol w:w="1869"/>
              <w:gridCol w:w="1869"/>
              <w:gridCol w:w="1869"/>
            </w:tblGrid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globalization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win-win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scalable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proofErr w:type="spellStart"/>
                  <w:r>
                    <w:t>upsell</w:t>
                  </w:r>
                  <w:proofErr w:type="spellEnd"/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bottom line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synergy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consensus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outside the box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bandwidth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spam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transition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cohesive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BINGO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telecommute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outsource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soft copy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multi-tasking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deliverable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fast track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repurpose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offline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critical path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leverage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action item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seamless</w:t>
                  </w:r>
                </w:p>
              </w:tc>
            </w:tr>
          </w:tbl>
          <w:p/>
        </w:tc>
      </w:tr>
      <w:tr>
        <w:trPr>
          <w:cantSplit/>
          <w:trHeight w:hRule="exact" w:val="6120"/>
        </w:trPr>
        <w:tc>
          <w:tcPr>
            <w:tcW w:w="9576" w:type="dxa"/>
          </w:tcPr>
          <w:tbl>
            <w:tblPr>
              <w:tblStyle w:val="TableGrid"/>
              <w:tblpPr w:leftFromText="187" w:rightFromText="187" w:vertAnchor="text" w:tblpY="174"/>
              <w:tblW w:w="0" w:type="auto"/>
              <w:tblLook w:val="04A0"/>
            </w:tblPr>
            <w:tblGrid>
              <w:gridCol w:w="1869"/>
              <w:gridCol w:w="1869"/>
              <w:gridCol w:w="1869"/>
              <w:gridCol w:w="1869"/>
              <w:gridCol w:w="1869"/>
            </w:tblGrid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drill down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mission-critical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efficiency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scope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localize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b2b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through-put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cycles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target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best practice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strategic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ping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BINGO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realign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proofErr w:type="spellStart"/>
                  <w:r>
                    <w:t>insource</w:t>
                  </w:r>
                  <w:proofErr w:type="spellEnd"/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FAQ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proofErr w:type="spellStart"/>
                  <w:r>
                    <w:t>genericize</w:t>
                  </w:r>
                  <w:proofErr w:type="spellEnd"/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world-class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24/7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on the same page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value-added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procedural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beta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virtual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proactive</w:t>
                  </w:r>
                </w:p>
              </w:tc>
            </w:tr>
          </w:tbl>
          <w:p/>
        </w:tc>
      </w:tr>
    </w:tbl>
    <w:p/>
    <w:tbl>
      <w:tblPr>
        <w:tblStyle w:val="TableGrid"/>
        <w:tblW w:w="9576" w:type="dxa"/>
        <w:tblLook w:val="04A0"/>
      </w:tblPr>
      <w:tblGrid>
        <w:gridCol w:w="9576"/>
      </w:tblGrid>
      <w:tr>
        <w:trPr>
          <w:cantSplit/>
          <w:trHeight w:hRule="exact" w:val="6120"/>
        </w:trPr>
        <w:tc>
          <w:tcPr>
            <w:tcW w:w="9576" w:type="dxa"/>
          </w:tcPr>
          <w:tbl>
            <w:tblPr>
              <w:tblStyle w:val="TableGrid"/>
              <w:tblpPr w:leftFromText="187" w:rightFromText="187" w:vertAnchor="text" w:tblpY="174"/>
              <w:tblW w:w="0" w:type="auto"/>
              <w:tblLook w:val="04A0"/>
            </w:tblPr>
            <w:tblGrid>
              <w:gridCol w:w="1869"/>
              <w:gridCol w:w="1869"/>
              <w:gridCol w:w="1869"/>
              <w:gridCol w:w="1869"/>
              <w:gridCol w:w="1869"/>
            </w:tblGrid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lastRenderedPageBreak/>
                    <w:t>empower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deliverable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scope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dot com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network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scenario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transition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benchmark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goal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mindshare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results-driven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24/7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BINGO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offline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ramp up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alpha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bandwidth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heads-up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multi-tasking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fiscal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scalable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dynamic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outside the box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bottom line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strategic</w:t>
                  </w:r>
                </w:p>
              </w:tc>
            </w:tr>
          </w:tbl>
          <w:p/>
        </w:tc>
      </w:tr>
      <w:tr>
        <w:trPr>
          <w:cantSplit/>
          <w:trHeight w:hRule="exact" w:val="6120"/>
        </w:trPr>
        <w:tc>
          <w:tcPr>
            <w:tcW w:w="9576" w:type="dxa"/>
          </w:tcPr>
          <w:tbl>
            <w:tblPr>
              <w:tblStyle w:val="TableGrid"/>
              <w:tblpPr w:leftFromText="187" w:rightFromText="187" w:vertAnchor="text" w:tblpY="174"/>
              <w:tblW w:w="0" w:type="auto"/>
              <w:tblLook w:val="04A0"/>
            </w:tblPr>
            <w:tblGrid>
              <w:gridCol w:w="1869"/>
              <w:gridCol w:w="1869"/>
              <w:gridCol w:w="1869"/>
              <w:gridCol w:w="1869"/>
              <w:gridCol w:w="1869"/>
            </w:tblGrid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proofErr w:type="spellStart"/>
                  <w:r>
                    <w:t>upsell</w:t>
                  </w:r>
                  <w:proofErr w:type="spellEnd"/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enterprise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accountable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reorganize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leadership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adapt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goal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leverage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proofErr w:type="spellStart"/>
                  <w:r>
                    <w:t>insource</w:t>
                  </w:r>
                  <w:proofErr w:type="spellEnd"/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sanity check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in the loop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proactive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BINGO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utilize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b2b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platform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outside the box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challenge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ping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objective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time frame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synergy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motivation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strategic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win-win</w:t>
                  </w:r>
                </w:p>
              </w:tc>
            </w:tr>
          </w:tbl>
          <w:p/>
        </w:tc>
      </w:tr>
      <w:tr>
        <w:trPr>
          <w:cantSplit/>
          <w:trHeight w:hRule="exact" w:val="6120"/>
        </w:trPr>
        <w:tc>
          <w:tcPr>
            <w:tcW w:w="9576" w:type="dxa"/>
          </w:tcPr>
          <w:tbl>
            <w:tblPr>
              <w:tblStyle w:val="TableGrid"/>
              <w:tblpPr w:leftFromText="187" w:rightFromText="187" w:vertAnchor="text" w:tblpY="174"/>
              <w:tblW w:w="0" w:type="auto"/>
              <w:tblLook w:val="04A0"/>
            </w:tblPr>
            <w:tblGrid>
              <w:gridCol w:w="1869"/>
              <w:gridCol w:w="1869"/>
              <w:gridCol w:w="1869"/>
              <w:gridCol w:w="1869"/>
              <w:gridCol w:w="1869"/>
            </w:tblGrid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lastRenderedPageBreak/>
                    <w:t>opportunity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phase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cohesive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international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bandwidth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interface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vision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priority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streamline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dynamic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ramp up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fiscal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BINGO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excellence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deploy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target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branding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embrace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training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timeline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dynamic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restructure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teamwork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facilitate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leading edge</w:t>
                  </w:r>
                </w:p>
              </w:tc>
            </w:tr>
          </w:tbl>
          <w:p/>
        </w:tc>
      </w:tr>
      <w:tr>
        <w:trPr>
          <w:cantSplit/>
          <w:trHeight w:hRule="exact" w:val="6120"/>
        </w:trPr>
        <w:tc>
          <w:tcPr>
            <w:tcW w:w="9576" w:type="dxa"/>
          </w:tcPr>
          <w:tbl>
            <w:tblPr>
              <w:tblStyle w:val="TableGrid"/>
              <w:tblpPr w:leftFromText="187" w:rightFromText="187" w:vertAnchor="text" w:tblpY="174"/>
              <w:tblW w:w="0" w:type="auto"/>
              <w:tblLook w:val="04A0"/>
            </w:tblPr>
            <w:tblGrid>
              <w:gridCol w:w="1869"/>
              <w:gridCol w:w="1869"/>
              <w:gridCol w:w="1869"/>
              <w:gridCol w:w="1869"/>
              <w:gridCol w:w="1869"/>
            </w:tblGrid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channel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morale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quality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realign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deliverable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procedural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innovation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big picture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feedback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virtual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action item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facilitate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BINGO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mission-critical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benchmark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dot com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cutting-edge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robust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push the envelope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prioritize</w:t>
                  </w:r>
                </w:p>
              </w:tc>
            </w:tr>
            <w:tr>
              <w:trPr>
                <w:trHeight w:val="1152"/>
              </w:trPr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interactive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data point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optimize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consensus</w:t>
                  </w:r>
                </w:p>
              </w:tc>
              <w:tc>
                <w:tcPr>
                  <w:tcW w:w="1869" w:type="dxa"/>
                  <w:vAlign w:val="center"/>
                </w:tcPr>
                <w:p>
                  <w:pPr>
                    <w:jc w:val="center"/>
                  </w:pPr>
                  <w:r>
                    <w:t>leverage</w:t>
                  </w:r>
                </w:p>
              </w:tc>
            </w:tr>
          </w:tbl>
          <w:p/>
        </w:tc>
      </w:tr>
    </w:tbl>
    <w:p/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BuzzWordBingo.dotx</Template>
  <TotalTime>85</TotalTime>
  <Pages>3</Pages>
  <Words>221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1479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Luann Vodder (Wes Rataushk &amp; Assc Inc)</dc:creator>
  <cp:keywords/>
  <dc:description/>
  <cp:lastModifiedBy>Luann Vodder (Wes Rataushk &amp; Assc Inc)</cp:lastModifiedBy>
  <cp:revision>1</cp:revision>
  <dcterms:created xsi:type="dcterms:W3CDTF">2007-03-19T23:39:00Z</dcterms:created>
  <dcterms:modified xsi:type="dcterms:W3CDTF">2007-03-20T01:04:00Z</dcterms:modified>
</cp:coreProperties>
</file>