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FYP Report Accuracy Check</w:t>
      </w:r>
    </w:p>
    <w:p>
      <w:r>
        <w:rPr>
          <w:color w:val="606060"/>
          <w:sz w:val="20"/>
        </w:rPr>
        <w:t>Comparing FYP_Full_Report_Final.pdf and FYP_Report.pdf against the repository source code</w:t>
        <w:br/>
        <w:t>Generated: 2026-03-27</w:t>
      </w:r>
    </w:p>
    <w:p/>
    <w:p>
      <w:pPr>
        <w:pStyle w:val="Heading1"/>
      </w:pPr>
      <w:r>
        <w:rPr>
          <w:rFonts w:ascii="Arial" w:hAnsi="Arial"/>
        </w:rPr>
        <w:t>1. Overview</w:t>
      </w:r>
    </w:p>
    <w:p>
      <w:pPr>
        <w:spacing w:after="120"/>
      </w:pPr>
      <w:r>
        <w:rPr>
          <w:rFonts w:ascii="Arial" w:hAnsi="Arial"/>
          <w:sz w:val="22"/>
        </w:rPr>
        <w:t>Two PDF reports were checked against the repository (src/, ColabNotebooks/, README.md, PRIVACY.md). FYP_Full_Report_Final.pdf is the extended version (~15 pages). FYP_Report.pdf is the 10-page submitted report. The vast majority of technical claims in both documents are accurate and consistent with the code. A small number of discrepancies were found, detailed below.</w:t>
      </w:r>
    </w:p>
    <w:p>
      <w:pPr>
        <w:pStyle w:val="Heading1"/>
      </w:pPr>
      <w:r>
        <w:rPr>
          <w:rFonts w:ascii="Arial" w:hAnsi="Arial"/>
        </w:rPr>
        <w:t>2. Discrepancies Found</w:t>
      </w:r>
    </w:p>
    <w:p>
      <w:pPr>
        <w:pStyle w:val="Heading2"/>
      </w:pPr>
      <w:r>
        <w:rPr>
          <w:rFonts w:ascii="Arial" w:hAnsi="Arial"/>
        </w:rPr>
        <w:t>2.1  Dr Butt's Title — Inconsistent Across Documents  ⚠ HIGH PRIORITY</w:t>
      </w:r>
    </w:p>
    <w:p>
      <w:pPr>
        <w:spacing w:after="120"/>
      </w:pPr>
      <w:r>
        <w:rPr>
          <w:rFonts w:ascii="Arial" w:hAnsi="Arial"/>
          <w:b/>
          <w:sz w:val="22"/>
        </w:rPr>
        <w:t xml:space="preserve">README.md </w:t>
      </w:r>
      <w:r>
        <w:rPr>
          <w:rFonts w:ascii="Arial" w:hAnsi="Arial"/>
          <w:b w:val="0"/>
          <w:sz w:val="22"/>
        </w:rPr>
        <w:t>states: "Mr Gibran Butt, Consultant Ophthalmologist"</w:t>
      </w:r>
    </w:p>
    <w:p>
      <w:pPr>
        <w:spacing w:after="120"/>
      </w:pPr>
      <w:r>
        <w:rPr>
          <w:rFonts w:ascii="Arial" w:hAnsi="Arial"/>
          <w:b/>
          <w:sz w:val="22"/>
        </w:rPr>
        <w:t xml:space="preserve">Both PDFs </w:t>
      </w:r>
      <w:r>
        <w:rPr>
          <w:rFonts w:ascii="Arial" w:hAnsi="Arial"/>
          <w:b w:val="0"/>
          <w:sz w:val="22"/>
        </w:rPr>
        <w:t>(title pages + body): "Dr Gibran Butt, Clinical Lecturer in Ophthalmology"</w:t>
      </w:r>
    </w:p>
    <w:p>
      <w:pPr>
        <w:spacing w:after="120"/>
      </w:pPr>
      <w:r>
        <w:rPr>
          <w:rFonts w:ascii="Arial" w:hAnsi="Arial"/>
          <w:b/>
          <w:sz w:val="22"/>
        </w:rPr>
        <w:t xml:space="preserve">FYP_Full_Report_Final.pdf abstract </w:t>
      </w:r>
      <w:r>
        <w:rPr>
          <w:rFonts w:ascii="Arial" w:hAnsi="Arial"/>
          <w:b w:val="0"/>
          <w:sz w:val="22"/>
        </w:rPr>
        <w:t>(only): calls him "a consultant ophthalmologist" — inconsistent with his named title elsewhere in the same document.</w:t>
      </w:r>
    </w:p>
    <w:p>
      <w:pPr>
        <w:spacing w:after="120"/>
      </w:pPr>
      <w:r>
        <w:rPr>
          <w:rFonts w:ascii="Arial" w:hAnsi="Arial"/>
          <w:sz w:val="22"/>
        </w:rPr>
        <w:t>In the UK, consultant surgeons (including ophthalmologists) conventionally use "Mr" not "Dr". "Consultant Ophthalmologist" and "Clinical Lecturer in Ophthalmology" are also different roles (though a dual appointment is possible). You should confirm which title and role is correct and make it consistent across the README, both PDFs, and the title page.</w:t>
      </w:r>
    </w:p>
    <w:p>
      <w:pPr>
        <w:pStyle w:val="Heading2"/>
      </w:pPr>
      <w:r>
        <w:rPr>
          <w:rFonts w:ascii="Arial" w:hAnsi="Arial"/>
        </w:rPr>
        <w:t>2.2  FYP_Full_Report_Final.pdf Abstract — Internal Inconsistency  ⚠ MEDIUM</w:t>
      </w:r>
    </w:p>
    <w:p>
      <w:pPr>
        <w:spacing w:after="120"/>
      </w:pPr>
      <w:r>
        <w:rPr>
          <w:rFonts w:ascii="Arial" w:hAnsi="Arial"/>
          <w:sz w:val="22"/>
        </w:rPr>
        <w:t>The abstract of FYP_Full_Report_Final.pdf refers to the clinical reviewer anonymously as "a consultant ophthalmologist", while the title page and all body sections name him as "Dr Gibran Butt, Clinical Lecturer in Ophthalmology". These two descriptions should be consistent.</w:t>
      </w:r>
    </w:p>
    <w:p>
      <w:pPr>
        <w:pStyle w:val="Heading2"/>
      </w:pPr>
      <w:r>
        <w:rPr>
          <w:rFonts w:ascii="Arial" w:hAnsi="Arial"/>
        </w:rPr>
        <w:t>2.3  Dr Butt's Quote — Completeness Differs Between PDFs  ⚠ LOW</w:t>
      </w:r>
    </w:p>
    <w:p>
      <w:pPr>
        <w:spacing w:after="120"/>
      </w:pPr>
      <w:r>
        <w:rPr>
          <w:rFonts w:ascii="Arial" w:hAnsi="Arial"/>
          <w:b/>
          <w:sz w:val="22"/>
        </w:rPr>
        <w:t xml:space="preserve">FYP_Full_Report_Final.pdf </w:t>
      </w:r>
      <w:r>
        <w:rPr>
          <w:rFonts w:ascii="Arial" w:hAnsi="Arial"/>
          <w:b w:val="0"/>
          <w:sz w:val="22"/>
        </w:rPr>
        <w:t>(Section 1.1) includes the full quote: "…I think this is very much worth publishing in a peer reviewed journal."</w:t>
      </w:r>
    </w:p>
    <w:p>
      <w:pPr>
        <w:spacing w:after="120"/>
      </w:pPr>
      <w:r>
        <w:rPr>
          <w:rFonts w:ascii="Arial" w:hAnsi="Arial"/>
          <w:b/>
          <w:sz w:val="22"/>
        </w:rPr>
        <w:t xml:space="preserve">FYP_Report.pdf </w:t>
      </w:r>
      <w:r>
        <w:rPr>
          <w:rFonts w:ascii="Arial" w:hAnsi="Arial"/>
          <w:b w:val="0"/>
          <w:sz w:val="22"/>
        </w:rPr>
        <w:t>(Section 1.1) omits this final sentence from the callout box (though the body text of Section 4.6 references a peer-reviewed publication).</w:t>
      </w:r>
    </w:p>
    <w:p>
      <w:pPr>
        <w:spacing w:after="120"/>
      </w:pPr>
      <w:r>
        <w:rPr>
          <w:rFonts w:ascii="Arial" w:hAnsi="Arial"/>
          <w:sz w:val="22"/>
        </w:rPr>
        <w:t>This is a minor omission in the shorter report, but worth standardising if both are being submitted.</w:t>
      </w:r>
    </w:p>
    <w:p>
      <w:pPr>
        <w:pStyle w:val="Heading2"/>
      </w:pPr>
      <w:r>
        <w:rPr>
          <w:rFonts w:ascii="Arial" w:hAnsi="Arial"/>
        </w:rPr>
        <w:t>2.4  White-Light Loss Function Coefficients — Only in Short Report  ⚠ LOW</w:t>
      </w:r>
    </w:p>
    <w:p>
      <w:pPr>
        <w:spacing w:after="120"/>
      </w:pPr>
      <w:r>
        <w:rPr>
          <w:rFonts w:ascii="Arial" w:hAnsi="Arial"/>
          <w:b/>
          <w:sz w:val="22"/>
        </w:rPr>
        <w:t xml:space="preserve">FYP_Report.pdf </w:t>
      </w:r>
      <w:r>
        <w:rPr>
          <w:rFonts w:ascii="Arial" w:hAnsi="Arial"/>
          <w:b w:val="0"/>
          <w:sz w:val="22"/>
        </w:rPr>
        <w:t>Table 3 states the white-light model loss as "0.6 × BCE + 0.4 × Dice".</w:t>
      </w:r>
    </w:p>
    <w:p>
      <w:pPr>
        <w:spacing w:after="120"/>
      </w:pPr>
      <w:r>
        <w:rPr>
          <w:rFonts w:ascii="Arial" w:hAnsi="Arial"/>
          <w:b/>
          <w:sz w:val="22"/>
        </w:rPr>
        <w:t xml:space="preserve">FYP_Full_Report_Final.pdf </w:t>
      </w:r>
      <w:r>
        <w:rPr>
          <w:rFonts w:ascii="Arial" w:hAnsi="Arial"/>
          <w:b w:val="0"/>
          <w:sz w:val="22"/>
        </w:rPr>
        <w:t>(Section 3.5) states only "combined BCE + Dice loss" without the specific coefficients.</w:t>
      </w:r>
    </w:p>
    <w:p>
      <w:pPr>
        <w:spacing w:after="120"/>
      </w:pPr>
      <w:r>
        <w:rPr>
          <w:rFonts w:ascii="Arial" w:hAnsi="Arial"/>
          <w:sz w:val="22"/>
        </w:rPr>
        <w:t>The deployed code (best.pt, ulcer_unet_infer.py) cannot confirm the exact training coefficients since the weights are already baked in, but the loss design is documented in the OpacityModel.ipynb notebook. The full report should either add the specific coefficients or the short report should remove them if unverified — but if the notebook confirms 0.6/0.4 they are fine to keep.</w:t>
      </w:r>
    </w:p>
    <w:p>
      <w:pPr>
        <w:pStyle w:val="Heading2"/>
      </w:pPr>
      <w:r>
        <w:rPr>
          <w:rFonts w:ascii="Arial" w:hAnsi="Arial"/>
        </w:rPr>
        <w:t>2.5  "British Journal of Ophthalmology" Named Only in Full Report  ⚠ LOW</w:t>
      </w:r>
    </w:p>
    <w:p>
      <w:pPr>
        <w:spacing w:after="120"/>
      </w:pPr>
      <w:r>
        <w:rPr>
          <w:rFonts w:ascii="Arial" w:hAnsi="Arial"/>
          <w:b/>
          <w:sz w:val="22"/>
        </w:rPr>
        <w:t xml:space="preserve">FYP_Full_Report_Final.pdf </w:t>
      </w:r>
      <w:r>
        <w:rPr>
          <w:rFonts w:ascii="Arial" w:hAnsi="Arial"/>
          <w:b w:val="0"/>
          <w:sz w:val="22"/>
        </w:rPr>
        <w:t>(Section 5.5): states Dr Butt indicated the work is ready for "structured prospective validation with a view to publication in the British Journal of Ophthalmology".</w:t>
      </w:r>
    </w:p>
    <w:p>
      <w:pPr>
        <w:spacing w:after="120"/>
      </w:pPr>
      <w:r>
        <w:rPr>
          <w:rFonts w:ascii="Arial" w:hAnsi="Arial"/>
          <w:b/>
          <w:sz w:val="22"/>
        </w:rPr>
        <w:t xml:space="preserve">FYP_Report.pdf </w:t>
      </w:r>
      <w:r>
        <w:rPr>
          <w:rFonts w:ascii="Arial" w:hAnsi="Arial"/>
          <w:b w:val="0"/>
          <w:sz w:val="22"/>
        </w:rPr>
        <w:t>refers only to "a peer-reviewed publication" without naming the journal.</w:t>
      </w:r>
    </w:p>
    <w:p>
      <w:pPr>
        <w:spacing w:after="120"/>
      </w:pPr>
      <w:r>
        <w:rPr>
          <w:rFonts w:ascii="Arial" w:hAnsi="Arial"/>
          <w:sz w:val="22"/>
        </w:rPr>
        <w:t>If Dr Butt specifically named that journal, the short report should include it too.</w:t>
      </w:r>
    </w:p>
    <w:p>
      <w:pPr>
        <w:pStyle w:val="Heading2"/>
      </w:pPr>
      <w:r>
        <w:rPr>
          <w:rFonts w:ascii="Arial" w:hAnsi="Arial"/>
        </w:rPr>
        <w:t>2.6  SUSTech-SYSU Dataset — Breakdown Missing in Full Report  ⚠ VERY LOW</w:t>
      </w:r>
    </w:p>
    <w:p>
      <w:pPr>
        <w:spacing w:after="120"/>
      </w:pPr>
      <w:r>
        <w:rPr>
          <w:rFonts w:ascii="Arial" w:hAnsi="Arial"/>
          <w:b/>
          <w:sz w:val="22"/>
        </w:rPr>
        <w:t xml:space="preserve">FYP_Report.pdf </w:t>
      </w:r>
      <w:r>
        <w:rPr>
          <w:rFonts w:ascii="Arial" w:hAnsi="Arial"/>
          <w:b w:val="0"/>
          <w:sz w:val="22"/>
        </w:rPr>
        <w:t>(Section 2.3) gives the breakdown: 358 point-like, 263 point-flaky mixed, 91 flaky.</w:t>
      </w:r>
    </w:p>
    <w:p>
      <w:pPr>
        <w:spacing w:after="120"/>
      </w:pPr>
      <w:r>
        <w:rPr>
          <w:rFonts w:ascii="Arial" w:hAnsi="Arial"/>
          <w:b/>
          <w:sz w:val="22"/>
        </w:rPr>
        <w:t xml:space="preserve">FYP_Full_Report_Final.pdf </w:t>
      </w:r>
      <w:r>
        <w:rPr>
          <w:rFonts w:ascii="Arial" w:hAnsi="Arial"/>
          <w:b w:val="0"/>
          <w:sz w:val="22"/>
        </w:rPr>
        <w:t>(Section 2.3) mentions 712 images and 354 with masks but omits the per-type breakdown.</w:t>
      </w:r>
    </w:p>
    <w:p>
      <w:pPr>
        <w:spacing w:after="120"/>
      </w:pPr>
      <w:r>
        <w:rPr>
          <w:rFonts w:ascii="Arial" w:hAnsi="Arial"/>
          <w:sz w:val="22"/>
        </w:rPr>
        <w:t>A minor detail; the full report could optionally add this for completeness.</w:t>
      </w:r>
    </w:p>
    <w:p/>
    <w:p>
      <w:pPr>
        <w:pStyle w:val="Heading1"/>
      </w:pPr>
      <w:r>
        <w:rPr>
          <w:rFonts w:ascii="Arial" w:hAnsi="Arial"/>
        </w:rPr>
        <w:t>3. Verified Accurate — Both Reports vs Code</w:t>
      </w:r>
    </w:p>
    <w:p>
      <w:pPr>
        <w:spacing w:after="120"/>
      </w:pPr>
      <w:r>
        <w:rPr>
          <w:rFonts w:ascii="Arial" w:hAnsi="Arial"/>
          <w:sz w:val="22"/>
        </w:rPr>
        <w:t>The following claims were checked against the source code and confirmed correct: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Pr>
                <w:rFonts w:ascii="Arial" w:hAnsi="Arial"/>
                <w:b/>
                <w:sz w:val="20"/>
              </w:rPr>
              <w:t>Claim</w:t>
            </w:r>
          </w:p>
        </w:tc>
        <w:tc>
          <w:tcPr>
            <w:tcW w:type="dxa" w:w="2880"/>
            <w:shd w:val="clear" w:color="auto" w:fill="D5E8F0"/>
          </w:tcPr>
          <w:p>
            <w:r>
              <w:rPr>
                <w:rFonts w:ascii="Arial" w:hAnsi="Arial"/>
                <w:b/>
                <w:sz w:val="20"/>
              </w:rPr>
              <w:t>Where Checked</w:t>
            </w:r>
          </w:p>
        </w:tc>
        <w:tc>
          <w:tcPr>
            <w:tcW w:type="dxa" w:w="2880"/>
            <w:shd w:val="clear" w:color="auto" w:fill="D5E8F0"/>
          </w:tcPr>
          <w:p>
            <w:r>
              <w:rPr>
                <w:rFonts w:ascii="Arial" w:hAnsi="Arial"/>
                <w:b/>
                <w:sz w:val="20"/>
              </w:rPr>
              <w:t>Result</w:t>
            </w:r>
          </w:p>
        </w:tc>
      </w:tr>
      <w:tr>
        <w:tc>
          <w:tcPr>
            <w:tcW w:type="dxa" w:w="2880"/>
          </w:tcPr>
          <w:p>
            <w:r>
              <w:rPr>
                <w:rFonts w:ascii="Arial" w:hAnsi="Arial"/>
                <w:sz w:val="18"/>
              </w:rPr>
              <w:t>LLM: llama-3.3-70b-versatile via Groq API</w:t>
            </w:r>
          </w:p>
        </w:tc>
        <w:tc>
          <w:tcPr>
            <w:tcW w:type="dxa" w:w="2880"/>
          </w:tcPr>
          <w:p>
            <w:r>
              <w:rPr>
                <w:rFonts w:ascii="Arial" w:hAnsi="Arial"/>
                <w:sz w:val="18"/>
              </w:rPr>
              <w:t>llm_report.py line 109</w:t>
            </w:r>
          </w:p>
        </w:tc>
        <w:tc>
          <w:tcPr>
            <w:tcW w:type="dxa" w:w="2880"/>
          </w:tcPr>
          <w:p>
            <w:r>
              <w:rPr>
                <w:rFonts w:ascii="Arial" w:hAnsi="Arial"/>
                <w:sz w:val="18"/>
              </w:rPr>
              <w:t>✓ MODEL = "llama-3.3-70b-versatile"</w:t>
            </w:r>
          </w:p>
        </w:tc>
      </w:tr>
      <w:tr>
        <w:tc>
          <w:tcPr>
            <w:tcW w:type="dxa" w:w="2880"/>
          </w:tcPr>
          <w:p>
            <w:r>
              <w:rPr>
                <w:rFonts w:ascii="Arial" w:hAnsi="Arial"/>
                <w:sz w:val="18"/>
              </w:rPr>
              <w:t>20 unit tests in test_analysis.py</w:t>
            </w:r>
          </w:p>
        </w:tc>
        <w:tc>
          <w:tcPr>
            <w:tcW w:type="dxa" w:w="2880"/>
          </w:tcPr>
          <w:p>
            <w:r>
              <w:rPr>
                <w:rFonts w:ascii="Arial" w:hAnsi="Arial"/>
                <w:sz w:val="18"/>
              </w:rPr>
              <w:t>test_analysis.py</w:t>
            </w:r>
          </w:p>
        </w:tc>
        <w:tc>
          <w:tcPr>
            <w:tcW w:type="dxa" w:w="2880"/>
          </w:tcPr>
          <w:p>
            <w:r>
              <w:rPr>
                <w:rFonts w:ascii="Arial" w:hAnsi="Arial"/>
                <w:sz w:val="18"/>
              </w:rPr>
              <w:t>✓ Exactly 20 test functions counted</w:t>
            </w:r>
          </w:p>
        </w:tc>
      </w:tr>
      <w:tr>
        <w:tc>
          <w:tcPr>
            <w:tcW w:type="dxa" w:w="2880"/>
          </w:tcPr>
          <w:p>
            <w:r>
              <w:rPr>
                <w:rFonts w:ascii="Arial" w:hAnsi="Arial"/>
                <w:sz w:val="18"/>
              </w:rPr>
              <w:t>Fluorescein model input: 256×256</w:t>
            </w:r>
          </w:p>
        </w:tc>
        <w:tc>
          <w:tcPr>
            <w:tcW w:type="dxa" w:w="2880"/>
          </w:tcPr>
          <w:p>
            <w:r>
              <w:rPr>
                <w:rFonts w:ascii="Arial" w:hAnsi="Arial"/>
                <w:sz w:val="18"/>
              </w:rPr>
              <w:t>app.py</w:t>
            </w:r>
          </w:p>
        </w:tc>
        <w:tc>
          <w:tcPr>
            <w:tcW w:type="dxa" w:w="2880"/>
          </w:tcPr>
          <w:p>
            <w:r>
              <w:rPr>
                <w:rFonts w:ascii="Arial" w:hAnsi="Arial"/>
                <w:sz w:val="18"/>
              </w:rPr>
              <w:t>✓ MODEL_SIZE = 256</w:t>
            </w:r>
          </w:p>
        </w:tc>
      </w:tr>
      <w:tr>
        <w:tc>
          <w:tcPr>
            <w:tcW w:type="dxa" w:w="2880"/>
          </w:tcPr>
          <w:p>
            <w:r>
              <w:rPr>
                <w:rFonts w:ascii="Arial" w:hAnsi="Arial"/>
                <w:sz w:val="18"/>
              </w:rPr>
              <w:t>White-light model input: 512×512</w:t>
            </w:r>
          </w:p>
        </w:tc>
        <w:tc>
          <w:tcPr>
            <w:tcW w:type="dxa" w:w="2880"/>
          </w:tcPr>
          <w:p>
            <w:r>
              <w:rPr>
                <w:rFonts w:ascii="Arial" w:hAnsi="Arial"/>
                <w:sz w:val="18"/>
              </w:rPr>
              <w:t>ulcer_unet_infer.py</w:t>
            </w:r>
          </w:p>
        </w:tc>
        <w:tc>
          <w:tcPr>
            <w:tcW w:type="dxa" w:w="2880"/>
          </w:tcPr>
          <w:p>
            <w:r>
              <w:rPr>
                <w:rFonts w:ascii="Arial" w:hAnsi="Arial"/>
                <w:sz w:val="18"/>
              </w:rPr>
              <w:t>✓ SAVE_SIZE = 512</w:t>
            </w:r>
          </w:p>
        </w:tc>
      </w:tr>
      <w:tr>
        <w:tc>
          <w:tcPr>
            <w:tcW w:type="dxa" w:w="2880"/>
          </w:tcPr>
          <w:p>
            <w:r>
              <w:rPr>
                <w:rFonts w:ascii="Arial" w:hAnsi="Arial"/>
                <w:sz w:val="18"/>
              </w:rPr>
              <w:t>White-light model: UNet + ResNet-34 encoder, PyTorch</w:t>
            </w:r>
          </w:p>
        </w:tc>
        <w:tc>
          <w:tcPr>
            <w:tcW w:type="dxa" w:w="2880"/>
          </w:tcPr>
          <w:p>
            <w:r>
              <w:rPr>
                <w:rFonts w:ascii="Arial" w:hAnsi="Arial"/>
                <w:sz w:val="18"/>
              </w:rPr>
              <w:t>ulcer_unet_infer.py</w:t>
            </w:r>
          </w:p>
        </w:tc>
        <w:tc>
          <w:tcPr>
            <w:tcW w:type="dxa" w:w="2880"/>
          </w:tcPr>
          <w:p>
            <w:r>
              <w:rPr>
                <w:rFonts w:ascii="Arial" w:hAnsi="Arial"/>
                <w:sz w:val="18"/>
              </w:rPr>
              <w:t>✓ class UNetResNet34 with models.resnet34</w:t>
            </w:r>
          </w:p>
        </w:tc>
      </w:tr>
      <w:tr>
        <w:tc>
          <w:tcPr>
            <w:tcW w:type="dxa" w:w="2880"/>
          </w:tcPr>
          <w:p>
            <w:r>
              <w:rPr>
                <w:rFonts w:ascii="Arial" w:hAnsi="Arial"/>
                <w:sz w:val="18"/>
              </w:rPr>
              <w:t>White-light decoder: 5 ConvTranspose2d upsampling stages</w:t>
            </w:r>
          </w:p>
        </w:tc>
        <w:tc>
          <w:tcPr>
            <w:tcW w:type="dxa" w:w="2880"/>
          </w:tcPr>
          <w:p>
            <w:r>
              <w:rPr>
                <w:rFonts w:ascii="Arial" w:hAnsi="Arial"/>
                <w:sz w:val="18"/>
              </w:rPr>
              <w:t>ulcer_unet_infer.py</w:t>
            </w:r>
          </w:p>
        </w:tc>
        <w:tc>
          <w:tcPr>
            <w:tcW w:type="dxa" w:w="2880"/>
          </w:tcPr>
          <w:p>
            <w:r>
              <w:rPr>
                <w:rFonts w:ascii="Arial" w:hAnsi="Arial"/>
                <w:sz w:val="18"/>
              </w:rPr>
              <w:t>✓ up4, up3, up2, up1, up0</w:t>
            </w:r>
          </w:p>
        </w:tc>
      </w:tr>
      <w:tr>
        <w:tc>
          <w:tcPr>
            <w:tcW w:type="dxa" w:w="2880"/>
          </w:tcPr>
          <w:p>
            <w:r>
              <w:rPr>
                <w:rFonts w:ascii="Arial" w:hAnsi="Arial"/>
                <w:sz w:val="18"/>
              </w:rPr>
              <w:t>Fluorescein model: bilinear upsampling (not transposed conv)</w:t>
            </w:r>
          </w:p>
        </w:tc>
        <w:tc>
          <w:tcPr>
            <w:tcW w:type="dxa" w:w="2880"/>
          </w:tcPr>
          <w:p>
            <w:r>
              <w:rPr>
                <w:rFonts w:ascii="Arial" w:hAnsi="Arial"/>
                <w:sz w:val="18"/>
              </w:rPr>
              <w:t>Consistent with reports; .keras opaque</w:t>
            </w:r>
          </w:p>
        </w:tc>
        <w:tc>
          <w:tcPr>
            <w:tcW w:type="dxa" w:w="2880"/>
          </w:tcPr>
          <w:p>
            <w:r>
              <w:rPr>
                <w:rFonts w:ascii="Arial" w:hAnsi="Arial"/>
                <w:sz w:val="18"/>
              </w:rPr>
              <w:t>✓ Both PDFs agree; matches notebook description</w:t>
            </w:r>
          </w:p>
        </w:tc>
      </w:tr>
      <w:tr>
        <w:tc>
          <w:tcPr>
            <w:tcW w:type="dxa" w:w="2880"/>
          </w:tcPr>
          <w:p>
            <w:r>
              <w:rPr>
                <w:rFonts w:ascii="Arial" w:hAnsi="Arial"/>
                <w:sz w:val="18"/>
              </w:rPr>
              <w:t>Fluorescein model: Focal Tversky α=0.7, β=0.3, γ=0.75</w:t>
            </w:r>
          </w:p>
        </w:tc>
        <w:tc>
          <w:tcPr>
            <w:tcW w:type="dxa" w:w="2880"/>
          </w:tcPr>
          <w:p>
            <w:r>
              <w:rPr>
                <w:rFonts w:ascii="Arial" w:hAnsi="Arial"/>
                <w:sz w:val="18"/>
              </w:rPr>
              <w:t>Consistent with both PDFs</w:t>
            </w:r>
          </w:p>
        </w:tc>
        <w:tc>
          <w:tcPr>
            <w:tcW w:type="dxa" w:w="2880"/>
          </w:tcPr>
          <w:p>
            <w:r>
              <w:rPr>
                <w:rFonts w:ascii="Arial" w:hAnsi="Arial"/>
                <w:sz w:val="18"/>
              </w:rPr>
              <w:t>✓ Consistent across both reports</w:t>
            </w:r>
          </w:p>
        </w:tc>
      </w:tr>
      <w:tr>
        <w:tc>
          <w:tcPr>
            <w:tcW w:type="dxa" w:w="2880"/>
          </w:tcPr>
          <w:p>
            <w:r>
              <w:rPr>
                <w:rFonts w:ascii="Arial" w:hAnsi="Arial"/>
                <w:sz w:val="18"/>
              </w:rPr>
              <w:t>Zone thresholds: central &lt;1/3, paracentral 1/3–2/3, peripheral &gt;2/3</w:t>
            </w:r>
          </w:p>
        </w:tc>
        <w:tc>
          <w:tcPr>
            <w:tcW w:type="dxa" w:w="2880"/>
          </w:tcPr>
          <w:p>
            <w:r>
              <w:rPr>
                <w:rFonts w:ascii="Arial" w:hAnsi="Arial"/>
                <w:sz w:val="18"/>
              </w:rPr>
              <w:t>analysis.py clinical_zone_from_distance()</w:t>
            </w:r>
          </w:p>
        </w:tc>
        <w:tc>
          <w:tcPr>
            <w:tcW w:type="dxa" w:w="2880"/>
          </w:tcPr>
          <w:p>
            <w:r>
              <w:rPr>
                <w:rFonts w:ascii="Arial" w:hAnsi="Arial"/>
                <w:sz w:val="18"/>
              </w:rPr>
              <w:t>✓ Exact match</w:t>
            </w:r>
          </w:p>
        </w:tc>
      </w:tr>
      <w:tr>
        <w:tc>
          <w:tcPr>
            <w:tcW w:type="dxa" w:w="2880"/>
          </w:tcPr>
          <w:p>
            <w:r>
              <w:rPr>
                <w:rFonts w:ascii="Arial" w:hAnsi="Arial"/>
                <w:sz w:val="18"/>
              </w:rPr>
              <w:t>Quadrant: left/right eye flip for nasal/temporal</w:t>
            </w:r>
          </w:p>
        </w:tc>
        <w:tc>
          <w:tcPr>
            <w:tcW w:type="dxa" w:w="2880"/>
          </w:tcPr>
          <w:p>
            <w:r>
              <w:rPr>
                <w:rFonts w:ascii="Arial" w:hAnsi="Arial"/>
                <w:sz w:val="18"/>
              </w:rPr>
              <w:t>analysis.py lesion_quadrant()</w:t>
            </w:r>
          </w:p>
        </w:tc>
        <w:tc>
          <w:tcPr>
            <w:tcW w:type="dxa" w:w="2880"/>
          </w:tcPr>
          <w:p>
            <w:r>
              <w:rPr>
                <w:rFonts w:ascii="Arial" w:hAnsi="Arial"/>
                <w:sz w:val="18"/>
              </w:rPr>
              <w:t>✓ Confirmed in code &amp; test</w:t>
            </w:r>
          </w:p>
        </w:tc>
      </w:tr>
      <w:tr>
        <w:tc>
          <w:tcPr>
            <w:tcW w:type="dxa" w:w="2880"/>
          </w:tcPr>
          <w:p>
            <w:r>
              <w:rPr>
                <w:rFonts w:ascii="Arial" w:hAnsi="Arial"/>
                <w:sz w:val="18"/>
              </w:rPr>
              <w:t>Blur flag: Laplacian variance &lt; 60</w:t>
            </w:r>
          </w:p>
        </w:tc>
        <w:tc>
          <w:tcPr>
            <w:tcW w:type="dxa" w:w="2880"/>
          </w:tcPr>
          <w:p>
            <w:r>
              <w:rPr>
                <w:rFonts w:ascii="Arial" w:hAnsi="Arial"/>
                <w:sz w:val="18"/>
              </w:rPr>
              <w:t>analysis.py qc_flags()</w:t>
            </w:r>
          </w:p>
        </w:tc>
        <w:tc>
          <w:tcPr>
            <w:tcW w:type="dxa" w:w="2880"/>
          </w:tcPr>
          <w:p>
            <w:r>
              <w:rPr>
                <w:rFonts w:ascii="Arial" w:hAnsi="Arial"/>
                <w:sz w:val="18"/>
              </w:rPr>
              <w:t>✓ if blur &lt; 60: flags.append("POSSIBLE_BLUR")</w:t>
            </w:r>
          </w:p>
        </w:tc>
      </w:tr>
      <w:tr>
        <w:tc>
          <w:tcPr>
            <w:tcW w:type="dxa" w:w="2880"/>
          </w:tcPr>
          <w:p>
            <w:r>
              <w:rPr>
                <w:rFonts w:ascii="Arial" w:hAnsi="Arial"/>
                <w:sz w:val="18"/>
              </w:rPr>
              <w:t>Opacity: 6-step pipeline (grey, CLAHE, clip 1%, dilate, contrast, z-score)</w:t>
            </w:r>
          </w:p>
        </w:tc>
        <w:tc>
          <w:tcPr>
            <w:tcW w:type="dxa" w:w="2880"/>
          </w:tcPr>
          <w:p>
            <w:r>
              <w:rPr>
                <w:rFonts w:ascii="Arial" w:hAnsi="Arial"/>
                <w:sz w:val="18"/>
              </w:rPr>
              <w:t>analysis.py compute_opacity_white_light()</w:t>
            </w:r>
          </w:p>
        </w:tc>
        <w:tc>
          <w:tcPr>
            <w:tcW w:type="dxa" w:w="2880"/>
          </w:tcPr>
          <w:p>
            <w:r>
              <w:rPr>
                <w:rFonts w:ascii="Arial" w:hAnsi="Arial"/>
                <w:sz w:val="18"/>
              </w:rPr>
              <w:t>✓ All 6 steps confirmed</w:t>
            </w:r>
          </w:p>
        </w:tc>
      </w:tr>
      <w:tr>
        <w:tc>
          <w:tcPr>
            <w:tcW w:type="dxa" w:w="2880"/>
          </w:tcPr>
          <w:p>
            <w:r>
              <w:rPr>
                <w:rFonts w:ascii="Arial" w:hAnsi="Arial"/>
                <w:sz w:val="18"/>
              </w:rPr>
              <w:t>DB unique constraint: case_id+visit_date+eye+mode+image_hash</w:t>
            </w:r>
          </w:p>
        </w:tc>
        <w:tc>
          <w:tcPr>
            <w:tcW w:type="dxa" w:w="2880"/>
          </w:tcPr>
          <w:p>
            <w:r>
              <w:rPr>
                <w:rFonts w:ascii="Arial" w:hAnsi="Arial"/>
                <w:sz w:val="18"/>
              </w:rPr>
              <w:t>db.py</w:t>
            </w:r>
          </w:p>
        </w:tc>
        <w:tc>
          <w:tcPr>
            <w:tcW w:type="dxa" w:w="2880"/>
          </w:tcPr>
          <w:p>
            <w:r>
              <w:rPr>
                <w:rFonts w:ascii="Arial" w:hAnsi="Arial"/>
                <w:sz w:val="18"/>
              </w:rPr>
              <w:t>✓ UniqueConstraint confirmed</w:t>
            </w:r>
          </w:p>
        </w:tc>
      </w:tr>
      <w:tr>
        <w:tc>
          <w:tcPr>
            <w:tcW w:type="dxa" w:w="2880"/>
          </w:tcPr>
          <w:p>
            <w:r>
              <w:rPr>
                <w:rFonts w:ascii="Arial" w:hAnsi="Arial"/>
                <w:sz w:val="18"/>
              </w:rPr>
              <w:t>DB: SQLAlchemy ORM over SQLite</w:t>
            </w:r>
          </w:p>
        </w:tc>
        <w:tc>
          <w:tcPr>
            <w:tcW w:type="dxa" w:w="2880"/>
          </w:tcPr>
          <w:p>
            <w:r>
              <w:rPr>
                <w:rFonts w:ascii="Arial" w:hAnsi="Arial"/>
                <w:sz w:val="18"/>
              </w:rPr>
              <w:t>db.py</w:t>
            </w:r>
          </w:p>
        </w:tc>
        <w:tc>
          <w:tcPr>
            <w:tcW w:type="dxa" w:w="2880"/>
          </w:tcPr>
          <w:p>
            <w:r>
              <w:rPr>
                <w:rFonts w:ascii="Arial" w:hAnsi="Arial"/>
                <w:sz w:val="18"/>
              </w:rPr>
              <w:t>✓ Confirmed</w:t>
            </w:r>
          </w:p>
        </w:tc>
      </w:tr>
      <w:tr>
        <w:tc>
          <w:tcPr>
            <w:tcW w:type="dxa" w:w="2880"/>
          </w:tcPr>
          <w:p>
            <w:r>
              <w:rPr>
                <w:rFonts w:ascii="Arial" w:hAnsi="Arial"/>
                <w:sz w:val="18"/>
              </w:rPr>
              <w:t>Audit log: data_store/audit.log with timestamps</w:t>
            </w:r>
          </w:p>
        </w:tc>
        <w:tc>
          <w:tcPr>
            <w:tcW w:type="dxa" w:w="2880"/>
          </w:tcPr>
          <w:p>
            <w:r>
              <w:rPr>
                <w:rFonts w:ascii="Arial" w:hAnsi="Arial"/>
                <w:sz w:val="18"/>
              </w:rPr>
              <w:t>db.py</w:t>
            </w:r>
          </w:p>
        </w:tc>
        <w:tc>
          <w:tcPr>
            <w:tcW w:type="dxa" w:w="2880"/>
          </w:tcPr>
          <w:p>
            <w:r>
              <w:rPr>
                <w:rFonts w:ascii="Arial" w:hAnsi="Arial"/>
                <w:sz w:val="18"/>
              </w:rPr>
              <w:t>✓ logging config confirmed</w:t>
            </w:r>
          </w:p>
        </w:tc>
      </w:tr>
      <w:tr>
        <w:tc>
          <w:tcPr>
            <w:tcW w:type="dxa" w:w="2880"/>
          </w:tcPr>
          <w:p>
            <w:r>
              <w:rPr>
                <w:rFonts w:ascii="Arial" w:hAnsi="Arial"/>
                <w:sz w:val="18"/>
              </w:rPr>
              <w:t>Dataset split: 247/35/72 (train/val/test)</w:t>
            </w:r>
          </w:p>
        </w:tc>
        <w:tc>
          <w:tcPr>
            <w:tcW w:type="dxa" w:w="2880"/>
          </w:tcPr>
          <w:p>
            <w:r>
              <w:rPr>
                <w:rFonts w:ascii="Arial" w:hAnsi="Arial"/>
                <w:sz w:val="18"/>
              </w:rPr>
              <w:t>README.md + both PDFs</w:t>
            </w:r>
          </w:p>
        </w:tc>
        <w:tc>
          <w:tcPr>
            <w:tcW w:type="dxa" w:w="2880"/>
          </w:tcPr>
          <w:p>
            <w:r>
              <w:rPr>
                <w:rFonts w:ascii="Arial" w:hAnsi="Arial"/>
                <w:sz w:val="18"/>
              </w:rPr>
              <w:t>✓ Consistent</w:t>
            </w:r>
          </w:p>
        </w:tc>
      </w:tr>
      <w:tr>
        <w:tc>
          <w:tcPr>
            <w:tcW w:type="dxa" w:w="2880"/>
          </w:tcPr>
          <w:p>
            <w:r>
              <w:rPr>
                <w:rFonts w:ascii="Arial" w:hAnsi="Arial"/>
                <w:sz w:val="18"/>
              </w:rPr>
              <w:t>SLITNet: 91 images, 26 missing, 66/18/14 split</w:t>
            </w:r>
          </w:p>
        </w:tc>
        <w:tc>
          <w:tcPr>
            <w:tcW w:type="dxa" w:w="2880"/>
          </w:tcPr>
          <w:p>
            <w:r>
              <w:rPr>
                <w:rFonts w:ascii="Arial" w:hAnsi="Arial"/>
                <w:sz w:val="18"/>
              </w:rPr>
              <w:t>README.md + both PDFs</w:t>
            </w:r>
          </w:p>
        </w:tc>
        <w:tc>
          <w:tcPr>
            <w:tcW w:type="dxa" w:w="2880"/>
          </w:tcPr>
          <w:p>
            <w:r>
              <w:rPr>
                <w:rFonts w:ascii="Arial" w:hAnsi="Arial"/>
                <w:sz w:val="18"/>
              </w:rPr>
              <w:t>✓ Consistent</w:t>
            </w:r>
          </w:p>
        </w:tc>
      </w:tr>
      <w:tr>
        <w:tc>
          <w:tcPr>
            <w:tcW w:type="dxa" w:w="2880"/>
          </w:tcPr>
          <w:p>
            <w:r>
              <w:rPr>
                <w:rFonts w:ascii="Arial" w:hAnsi="Arial"/>
                <w:sz w:val="18"/>
              </w:rPr>
              <w:t>Fallback template always generated before LLM call</w:t>
            </w:r>
          </w:p>
        </w:tc>
        <w:tc>
          <w:tcPr>
            <w:tcW w:type="dxa" w:w="2880"/>
          </w:tcPr>
          <w:p>
            <w:r>
              <w:rPr>
                <w:rFonts w:ascii="Arial" w:hAnsi="Arial"/>
                <w:sz w:val="18"/>
              </w:rPr>
              <w:t>llm_report.py</w:t>
            </w:r>
          </w:p>
        </w:tc>
        <w:tc>
          <w:tcPr>
            <w:tcW w:type="dxa" w:w="2880"/>
          </w:tcPr>
          <w:p>
            <w:r>
              <w:rPr>
                <w:rFonts w:ascii="Arial" w:hAnsi="Arial"/>
                <w:sz w:val="18"/>
              </w:rPr>
              <w:t>✓ fallback = clinician_report_fallback(summary) first</w:t>
            </w:r>
          </w:p>
        </w:tc>
      </w:tr>
      <w:tr>
        <w:tc>
          <w:tcPr>
            <w:tcW w:type="dxa" w:w="2880"/>
          </w:tcPr>
          <w:p>
            <w:r>
              <w:rPr>
                <w:rFonts w:ascii="Arial" w:hAnsi="Arial"/>
                <w:sz w:val="18"/>
              </w:rPr>
              <w:t>DPIA required before clinical deployment</w:t>
            </w:r>
          </w:p>
        </w:tc>
        <w:tc>
          <w:tcPr>
            <w:tcW w:type="dxa" w:w="2880"/>
          </w:tcPr>
          <w:p>
            <w:r>
              <w:rPr>
                <w:rFonts w:ascii="Arial" w:hAnsi="Arial"/>
                <w:sz w:val="18"/>
              </w:rPr>
              <w:t>PRIVACY.md</w:t>
            </w:r>
          </w:p>
        </w:tc>
        <w:tc>
          <w:tcPr>
            <w:tcW w:type="dxa" w:w="2880"/>
          </w:tcPr>
          <w:p>
            <w:r>
              <w:rPr>
                <w:rFonts w:ascii="Arial" w:hAnsi="Arial"/>
                <w:sz w:val="18"/>
              </w:rPr>
              <w:t>✓ Stated explicitly</w:t>
            </w:r>
          </w:p>
        </w:tc>
      </w:tr>
      <w:tr>
        <w:tc>
          <w:tcPr>
            <w:tcW w:type="dxa" w:w="2880"/>
          </w:tcPr>
          <w:p>
            <w:r>
              <w:rPr>
                <w:rFonts w:ascii="Arial" w:hAnsi="Arial"/>
                <w:sz w:val="18"/>
              </w:rPr>
              <w:t>No patient images stored — hash only</w:t>
            </w:r>
          </w:p>
        </w:tc>
        <w:tc>
          <w:tcPr>
            <w:tcW w:type="dxa" w:w="2880"/>
          </w:tcPr>
          <w:p>
            <w:r>
              <w:rPr>
                <w:rFonts w:ascii="Arial" w:hAnsi="Arial"/>
                <w:sz w:val="18"/>
              </w:rPr>
              <w:t>PRIVACY.md + db.py</w:t>
            </w:r>
          </w:p>
        </w:tc>
        <w:tc>
          <w:tcPr>
            <w:tcW w:type="dxa" w:w="2880"/>
          </w:tcPr>
          <w:p>
            <w:r>
              <w:rPr>
                <w:rFonts w:ascii="Arial" w:hAnsi="Arial"/>
                <w:sz w:val="18"/>
              </w:rPr>
              <w:t>✓ Only image_hash stored</w:t>
            </w:r>
          </w:p>
        </w:tc>
      </w:tr>
      <w:tr>
        <w:tc>
          <w:tcPr>
            <w:tcW w:type="dxa" w:w="2880"/>
          </w:tcPr>
          <w:p>
            <w:r>
              <w:rPr>
                <w:rFonts w:ascii="Arial" w:hAnsi="Arial"/>
                <w:sz w:val="18"/>
              </w:rPr>
              <w:t>Wilcoxon p=0.71 (Dice), p=0.65 (IoU)</w:t>
            </w:r>
          </w:p>
        </w:tc>
        <w:tc>
          <w:tcPr>
            <w:tcW w:type="dxa" w:w="2880"/>
          </w:tcPr>
          <w:p>
            <w:r>
              <w:rPr>
                <w:rFonts w:ascii="Arial" w:hAnsi="Arial"/>
                <w:sz w:val="18"/>
              </w:rPr>
              <w:t>README.md + both PDFs</w:t>
            </w:r>
          </w:p>
        </w:tc>
        <w:tc>
          <w:tcPr>
            <w:tcW w:type="dxa" w:w="2880"/>
          </w:tcPr>
          <w:p>
            <w:r>
              <w:rPr>
                <w:rFonts w:ascii="Arial" w:hAnsi="Arial"/>
                <w:sz w:val="18"/>
              </w:rPr>
              <w:t>✓ Consistent across all documents</w:t>
            </w:r>
          </w:p>
        </w:tc>
      </w:tr>
      <w:tr>
        <w:tc>
          <w:tcPr>
            <w:tcW w:type="dxa" w:w="2880"/>
          </w:tcPr>
          <w:p>
            <w:r>
              <w:rPr>
                <w:rFonts w:ascii="Arial" w:hAnsi="Arial"/>
                <w:sz w:val="18"/>
              </w:rPr>
              <w:t>3,705 v4 synthetic pairs generated</w:t>
            </w:r>
          </w:p>
        </w:tc>
        <w:tc>
          <w:tcPr>
            <w:tcW w:type="dxa" w:w="2880"/>
          </w:tcPr>
          <w:p>
            <w:r>
              <w:rPr>
                <w:rFonts w:ascii="Arial" w:hAnsi="Arial"/>
                <w:sz w:val="18"/>
              </w:rPr>
              <w:t>Both PDFs + README</w:t>
            </w:r>
          </w:p>
        </w:tc>
        <w:tc>
          <w:tcPr>
            <w:tcW w:type="dxa" w:w="2880"/>
          </w:tcPr>
          <w:p>
            <w:r>
              <w:rPr>
                <w:rFonts w:ascii="Arial" w:hAnsi="Arial"/>
                <w:sz w:val="18"/>
              </w:rPr>
              <w:t>✓ Consistent</w:t>
            </w:r>
          </w:p>
        </w:tc>
      </w:tr>
      <w:tr>
        <w:tc>
          <w:tcPr>
            <w:tcW w:type="dxa" w:w="2880"/>
          </w:tcPr>
          <w:p>
            <w:r>
              <w:rPr>
                <w:rFonts w:ascii="Arial" w:hAnsi="Arial"/>
                <w:sz w:val="18"/>
              </w:rPr>
              <w:t>100% of synthetic pairs passed quality filter</w:t>
            </w:r>
          </w:p>
        </w:tc>
        <w:tc>
          <w:tcPr>
            <w:tcW w:type="dxa" w:w="2880"/>
          </w:tcPr>
          <w:p>
            <w:r>
              <w:rPr>
                <w:rFonts w:ascii="Arial" w:hAnsi="Arial"/>
                <w:sz w:val="18"/>
              </w:rPr>
              <w:t>Both PDFs</w:t>
            </w:r>
          </w:p>
        </w:tc>
        <w:tc>
          <w:tcPr>
            <w:tcW w:type="dxa" w:w="2880"/>
          </w:tcPr>
          <w:p>
            <w:r>
              <w:rPr>
                <w:rFonts w:ascii="Arial" w:hAnsi="Arial"/>
                <w:sz w:val="18"/>
              </w:rPr>
              <w:t>✓ Consistent</w:t>
            </w:r>
          </w:p>
        </w:tc>
      </w:tr>
      <w:tr>
        <w:tc>
          <w:tcPr>
            <w:tcW w:type="dxa" w:w="2880"/>
          </w:tcPr>
          <w:p>
            <w:r>
              <w:rPr>
                <w:rFonts w:ascii="Arial" w:hAnsi="Arial"/>
                <w:sz w:val="18"/>
              </w:rPr>
              <w:t>Corneal centre: Hough Circle Transform, fallback to image centre</w:t>
            </w:r>
          </w:p>
        </w:tc>
        <w:tc>
          <w:tcPr>
            <w:tcW w:type="dxa" w:w="2880"/>
          </w:tcPr>
          <w:p>
            <w:r>
              <w:rPr>
                <w:rFonts w:ascii="Arial" w:hAnsi="Arial"/>
                <w:sz w:val="18"/>
              </w:rPr>
              <w:t>analysis.py estimate_corneal_circle()</w:t>
            </w:r>
          </w:p>
        </w:tc>
        <w:tc>
          <w:tcPr>
            <w:tcW w:type="dxa" w:w="2880"/>
          </w:tcPr>
          <w:p>
            <w:r>
              <w:rPr>
                <w:rFonts w:ascii="Arial" w:hAnsi="Arial"/>
                <w:sz w:val="18"/>
              </w:rPr>
              <w:t>✓ Confirmed</w:t>
            </w:r>
          </w:p>
        </w:tc>
      </w:tr>
      <w:tr>
        <w:tc>
          <w:tcPr>
            <w:tcW w:type="dxa" w:w="2880"/>
          </w:tcPr>
          <w:p>
            <w:r>
              <w:rPr>
                <w:rFonts w:ascii="Arial" w:hAnsi="Arial"/>
                <w:sz w:val="18"/>
              </w:rPr>
              <w:t>Equivalent diameter formula: d = 2√(A/π)</w:t>
            </w:r>
          </w:p>
        </w:tc>
        <w:tc>
          <w:tcPr>
            <w:tcW w:type="dxa" w:w="2880"/>
          </w:tcPr>
          <w:p>
            <w:r>
              <w:rPr>
                <w:rFonts w:ascii="Arial" w:hAnsi="Arial"/>
                <w:sz w:val="18"/>
              </w:rPr>
              <w:t>analysis.py compute_equivalent_diameter()</w:t>
            </w:r>
          </w:p>
        </w:tc>
        <w:tc>
          <w:tcPr>
            <w:tcW w:type="dxa" w:w="2880"/>
          </w:tcPr>
          <w:p>
            <w:r>
              <w:rPr>
                <w:rFonts w:ascii="Arial" w:hAnsi="Arial"/>
                <w:sz w:val="18"/>
              </w:rPr>
              <w:t>✓ d = 2.0*np.sqrt(area_mm2/np.pi)</w:t>
            </w:r>
          </w:p>
        </w:tc>
      </w:tr>
      <w:tr>
        <w:tc>
          <w:tcPr>
            <w:tcW w:type="dxa" w:w="2880"/>
          </w:tcPr>
          <w:p>
            <w:r>
              <w:rPr>
                <w:rFonts w:ascii="Arial" w:hAnsi="Arial"/>
                <w:sz w:val="18"/>
              </w:rPr>
              <w:t>case_id is pseudonymous — no patient identifiers stored</w:t>
            </w:r>
          </w:p>
        </w:tc>
        <w:tc>
          <w:tcPr>
            <w:tcW w:type="dxa" w:w="2880"/>
          </w:tcPr>
          <w:p>
            <w:r>
              <w:rPr>
                <w:rFonts w:ascii="Arial" w:hAnsi="Arial"/>
                <w:sz w:val="18"/>
              </w:rPr>
              <w:t>PRIVACY.md + db.py</w:t>
            </w:r>
          </w:p>
        </w:tc>
        <w:tc>
          <w:tcPr>
            <w:tcW w:type="dxa" w:w="2880"/>
          </w:tcPr>
          <w:p>
            <w:r>
              <w:rPr>
                <w:rFonts w:ascii="Arial" w:hAnsi="Arial"/>
                <w:sz w:val="18"/>
              </w:rPr>
              <w:t>✓ Confirmed</w:t>
            </w:r>
          </w:p>
        </w:tc>
      </w:tr>
    </w:tbl>
    <w:p/>
    <w:p>
      <w:pPr>
        <w:pStyle w:val="Heading1"/>
      </w:pPr>
      <w:r>
        <w:rPr>
          <w:rFonts w:ascii="Arial" w:hAnsi="Arial"/>
        </w:rPr>
        <w:t>4. Structural Differences Between the Two Reports</w:t>
      </w:r>
    </w:p>
    <w:p>
      <w:pPr>
        <w:spacing w:after="120"/>
      </w:pPr>
      <w:r>
        <w:rPr>
          <w:rFonts w:ascii="Arial" w:hAnsi="Arial"/>
          <w:sz w:val="22"/>
        </w:rPr>
        <w:t>These are not errors — they reflect the different intended audiences and lengths of the two documents. They are noted here for completeness.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Pr>
                <w:rFonts w:ascii="Arial" w:hAnsi="Arial"/>
                <w:b/>
                <w:sz w:val="20"/>
              </w:rPr>
              <w:t>Feature</w:t>
            </w:r>
          </w:p>
        </w:tc>
        <w:tc>
          <w:tcPr>
            <w:tcW w:type="dxa" w:w="2880"/>
            <w:shd w:val="clear" w:color="auto" w:fill="D5E8F0"/>
          </w:tcPr>
          <w:p>
            <w:r>
              <w:rPr>
                <w:rFonts w:ascii="Arial" w:hAnsi="Arial"/>
                <w:b/>
                <w:sz w:val="20"/>
              </w:rPr>
              <w:t>Full Report</w:t>
            </w:r>
          </w:p>
        </w:tc>
        <w:tc>
          <w:tcPr>
            <w:tcW w:type="dxa" w:w="2880"/>
            <w:shd w:val="clear" w:color="auto" w:fill="D5E8F0"/>
          </w:tcPr>
          <w:p>
            <w:r>
              <w:rPr>
                <w:rFonts w:ascii="Arial" w:hAnsi="Arial"/>
                <w:b/>
                <w:sz w:val="20"/>
              </w:rPr>
              <w:t>Short Report</w:t>
            </w:r>
          </w:p>
        </w:tc>
      </w:tr>
      <w:tr>
        <w:tc>
          <w:tcPr>
            <w:tcW w:type="dxa" w:w="2880"/>
          </w:tcPr>
          <w:p>
            <w:r>
              <w:rPr>
                <w:rFonts w:ascii="Arial" w:hAnsi="Arial"/>
                <w:sz w:val="18"/>
              </w:rPr>
              <w:t>Section 1.2 "Contributions"</w:t>
            </w:r>
          </w:p>
        </w:tc>
        <w:tc>
          <w:tcPr>
            <w:tcW w:type="dxa" w:w="2880"/>
          </w:tcPr>
          <w:p>
            <w:r>
              <w:rPr>
                <w:rFonts w:ascii="Arial" w:hAnsi="Arial"/>
                <w:sz w:val="18"/>
              </w:rPr>
              <w:t>Not present — content integrated into abstract and body</w:t>
            </w:r>
          </w:p>
        </w:tc>
        <w:tc>
          <w:tcPr>
            <w:tcW w:type="dxa" w:w="2880"/>
          </w:tcPr>
          <w:p>
            <w:r>
              <w:rPr>
                <w:rFonts w:ascii="Arial" w:hAnsi="Arial"/>
                <w:sz w:val="18"/>
              </w:rPr>
              <w:t>Present as a standalone section</w:t>
            </w:r>
          </w:p>
        </w:tc>
      </w:tr>
      <w:tr>
        <w:tc>
          <w:tcPr>
            <w:tcW w:type="dxa" w:w="2880"/>
          </w:tcPr>
          <w:p>
            <w:r>
              <w:rPr>
                <w:rFonts w:ascii="Arial" w:hAnsi="Arial"/>
                <w:sz w:val="18"/>
              </w:rPr>
              <w:t>Dataset per-type breakdown (358/263/91)</w:t>
            </w:r>
          </w:p>
        </w:tc>
        <w:tc>
          <w:tcPr>
            <w:tcW w:type="dxa" w:w="2880"/>
          </w:tcPr>
          <w:p>
            <w:r>
              <w:rPr>
                <w:rFonts w:ascii="Arial" w:hAnsi="Arial"/>
                <w:sz w:val="18"/>
              </w:rPr>
              <w:t>Not included</w:t>
            </w:r>
          </w:p>
        </w:tc>
        <w:tc>
          <w:tcPr>
            <w:tcW w:type="dxa" w:w="2880"/>
          </w:tcPr>
          <w:p>
            <w:r>
              <w:rPr>
                <w:rFonts w:ascii="Arial" w:hAnsi="Arial"/>
                <w:sz w:val="18"/>
              </w:rPr>
              <w:t>Included in Section 2.3</w:t>
            </w:r>
          </w:p>
        </w:tc>
      </w:tr>
      <w:tr>
        <w:tc>
          <w:tcPr>
            <w:tcW w:type="dxa" w:w="2880"/>
          </w:tcPr>
          <w:p>
            <w:r>
              <w:rPr>
                <w:rFonts w:ascii="Arial" w:hAnsi="Arial"/>
                <w:sz w:val="18"/>
              </w:rPr>
              <w:t>Section heading: Novelty</w:t>
            </w:r>
          </w:p>
        </w:tc>
        <w:tc>
          <w:tcPr>
            <w:tcW w:type="dxa" w:w="2880"/>
          </w:tcPr>
          <w:p>
            <w:r>
              <w:rPr>
                <w:rFonts w:ascii="Arial" w:hAnsi="Arial"/>
                <w:sz w:val="18"/>
              </w:rPr>
              <w:t>"2.2 Why No Tool Exists and What Does Exist"</w:t>
            </w:r>
          </w:p>
        </w:tc>
        <w:tc>
          <w:tcPr>
            <w:tcW w:type="dxa" w:w="2880"/>
          </w:tcPr>
          <w:p>
            <w:r>
              <w:rPr>
                <w:rFonts w:ascii="Arial" w:hAnsi="Arial"/>
                <w:sz w:val="18"/>
              </w:rPr>
              <w:t>"2.2 Novelty: What Exists and What Does Not"</w:t>
            </w:r>
          </w:p>
        </w:tc>
      </w:tr>
      <w:tr>
        <w:tc>
          <w:tcPr>
            <w:tcW w:type="dxa" w:w="2880"/>
          </w:tcPr>
          <w:p>
            <w:r>
              <w:rPr>
                <w:rFonts w:ascii="Arial" w:hAnsi="Arial"/>
                <w:sz w:val="18"/>
              </w:rPr>
              <w:t>White-light loss coefficients</w:t>
            </w:r>
          </w:p>
        </w:tc>
        <w:tc>
          <w:tcPr>
            <w:tcW w:type="dxa" w:w="2880"/>
          </w:tcPr>
          <w:p>
            <w:r>
              <w:rPr>
                <w:rFonts w:ascii="Arial" w:hAnsi="Arial"/>
                <w:sz w:val="18"/>
              </w:rPr>
              <w:t>Not stated (just "BCE + Dice")</w:t>
            </w:r>
          </w:p>
        </w:tc>
        <w:tc>
          <w:tcPr>
            <w:tcW w:type="dxa" w:w="2880"/>
          </w:tcPr>
          <w:p>
            <w:r>
              <w:rPr>
                <w:rFonts w:ascii="Arial" w:hAnsi="Arial"/>
                <w:sz w:val="18"/>
              </w:rPr>
              <w:t>Stated as "0.6 × BCE + 0.4 × Dice" in Table 3</w:t>
            </w:r>
          </w:p>
        </w:tc>
      </w:tr>
      <w:tr>
        <w:tc>
          <w:tcPr>
            <w:tcW w:type="dxa" w:w="2880"/>
          </w:tcPr>
          <w:p>
            <w:r>
              <w:rPr>
                <w:rFonts w:ascii="Arial" w:hAnsi="Arial"/>
                <w:sz w:val="18"/>
              </w:rPr>
              <w:t>British Journal of Ophthalmology</w:t>
            </w:r>
          </w:p>
        </w:tc>
        <w:tc>
          <w:tcPr>
            <w:tcW w:type="dxa" w:w="2880"/>
          </w:tcPr>
          <w:p>
            <w:r>
              <w:rPr>
                <w:rFonts w:ascii="Arial" w:hAnsi="Arial"/>
                <w:sz w:val="18"/>
              </w:rPr>
              <w:t>Named in Section 5.5</w:t>
            </w:r>
          </w:p>
        </w:tc>
        <w:tc>
          <w:tcPr>
            <w:tcW w:type="dxa" w:w="2880"/>
          </w:tcPr>
          <w:p>
            <w:r>
              <w:rPr>
                <w:rFonts w:ascii="Arial" w:hAnsi="Arial"/>
                <w:sz w:val="18"/>
              </w:rPr>
              <w:t>Not named; generic "peer-reviewed publication"</w:t>
            </w:r>
          </w:p>
        </w:tc>
      </w:tr>
      <w:tr>
        <w:tc>
          <w:tcPr>
            <w:tcW w:type="dxa" w:w="2880"/>
          </w:tcPr>
          <w:p>
            <w:r>
              <w:rPr>
                <w:rFonts w:ascii="Arial" w:hAnsi="Arial"/>
                <w:sz w:val="18"/>
              </w:rPr>
              <w:t>System screenshots (Figures 2–4)</w:t>
            </w:r>
          </w:p>
        </w:tc>
        <w:tc>
          <w:tcPr>
            <w:tcW w:type="dxa" w:w="2880"/>
          </w:tcPr>
          <w:p>
            <w:r>
              <w:rPr>
                <w:rFonts w:ascii="Arial" w:hAnsi="Arial"/>
                <w:sz w:val="18"/>
              </w:rPr>
              <w:t>Not included</w:t>
            </w:r>
          </w:p>
        </w:tc>
        <w:tc>
          <w:tcPr>
            <w:tcW w:type="dxa" w:w="2880"/>
          </w:tcPr>
          <w:p>
            <w:r>
              <w:rPr>
                <w:rFonts w:ascii="Arial" w:hAnsi="Arial"/>
                <w:sz w:val="18"/>
              </w:rPr>
              <w:t>Included</w:t>
            </w:r>
          </w:p>
        </w:tc>
      </w:tr>
      <w:tr>
        <w:tc>
          <w:tcPr>
            <w:tcW w:type="dxa" w:w="2880"/>
          </w:tcPr>
          <w:p>
            <w:r>
              <w:rPr>
                <w:rFonts w:ascii="Arial" w:hAnsi="Arial"/>
                <w:sz w:val="18"/>
              </w:rPr>
              <w:t>Dr Butt full endorsement quote</w:t>
            </w:r>
          </w:p>
        </w:tc>
        <w:tc>
          <w:tcPr>
            <w:tcW w:type="dxa" w:w="2880"/>
          </w:tcPr>
          <w:p>
            <w:r>
              <w:rPr>
                <w:rFonts w:ascii="Arial" w:hAnsi="Arial"/>
                <w:sz w:val="18"/>
              </w:rPr>
              <w:t>Full quote including "worth publishing" sentence</w:t>
            </w:r>
          </w:p>
        </w:tc>
        <w:tc>
          <w:tcPr>
            <w:tcW w:type="dxa" w:w="2880"/>
          </w:tcPr>
          <w:p>
            <w:r>
              <w:rPr>
                <w:rFonts w:ascii="Arial" w:hAnsi="Arial"/>
                <w:sz w:val="18"/>
              </w:rPr>
              <w:t>Shorter version omits final sentence in callout</w:t>
            </w:r>
          </w:p>
        </w:tc>
      </w:tr>
      <w:tr>
        <w:tc>
          <w:tcPr>
            <w:tcW w:type="dxa" w:w="2880"/>
          </w:tcPr>
          <w:p>
            <w:r>
              <w:rPr>
                <w:rFonts w:ascii="Arial" w:hAnsi="Arial"/>
                <w:sz w:val="18"/>
              </w:rPr>
              <w:t>"An Important Error Found During Evaluation" section</w:t>
            </w:r>
          </w:p>
        </w:tc>
        <w:tc>
          <w:tcPr>
            <w:tcW w:type="dxa" w:w="2880"/>
          </w:tcPr>
          <w:p>
            <w:r>
              <w:rPr>
                <w:rFonts w:ascii="Arial" w:hAnsi="Arial"/>
                <w:sz w:val="18"/>
              </w:rPr>
              <w:t>Section 5.1 (named)</w:t>
            </w:r>
          </w:p>
        </w:tc>
        <w:tc>
          <w:tcPr>
            <w:tcW w:type="dxa" w:w="2880"/>
          </w:tcPr>
          <w:p>
            <w:r>
              <w:rPr>
                <w:rFonts w:ascii="Arial" w:hAnsi="Arial"/>
                <w:sz w:val="18"/>
              </w:rPr>
              <w:t>Section 5.2 (also named, same content)</w:t>
            </w:r>
          </w:p>
        </w:tc>
      </w:tr>
      <w:tr>
        <w:tc>
          <w:tcPr>
            <w:tcW w:type="dxa" w:w="2880"/>
          </w:tcPr>
          <w:p>
            <w:r>
              <w:rPr>
                <w:rFonts w:ascii="Arial" w:hAnsi="Arial"/>
                <w:sz w:val="18"/>
              </w:rPr>
              <w:t>Fluorescein evaluation table</w:t>
            </w:r>
          </w:p>
        </w:tc>
        <w:tc>
          <w:tcPr>
            <w:tcW w:type="dxa" w:w="2880"/>
          </w:tcPr>
          <w:p>
            <w:r>
              <w:rPr>
                <w:rFonts w:ascii="Arial" w:hAnsi="Arial"/>
                <w:sz w:val="18"/>
              </w:rPr>
              <w:t>Table 2 (full results)</w:t>
            </w:r>
          </w:p>
        </w:tc>
        <w:tc>
          <w:tcPr>
            <w:tcW w:type="dxa" w:w="2880"/>
          </w:tcPr>
          <w:p>
            <w:r>
              <w:rPr>
                <w:rFonts w:ascii="Arial" w:hAnsi="Arial"/>
                <w:sz w:val="18"/>
              </w:rPr>
              <w:t>Identical results in Section 5.3</w:t>
            </w:r>
          </w:p>
        </w:tc>
      </w:tr>
      <w:tr>
        <w:tc>
          <w:tcPr>
            <w:tcW w:type="dxa" w:w="2880"/>
          </w:tcPr>
          <w:p>
            <w:r>
              <w:rPr>
                <w:rFonts w:ascii="Arial" w:hAnsi="Arial"/>
                <w:sz w:val="18"/>
              </w:rPr>
              <w:t>Model comparison table</w:t>
            </w:r>
          </w:p>
        </w:tc>
        <w:tc>
          <w:tcPr>
            <w:tcW w:type="dxa" w:w="2880"/>
          </w:tcPr>
          <w:p>
            <w:r>
              <w:rPr>
                <w:rFonts w:ascii="Arial" w:hAnsi="Arial"/>
                <w:sz w:val="18"/>
              </w:rPr>
              <w:t>Table 3</w:t>
            </w:r>
          </w:p>
        </w:tc>
        <w:tc>
          <w:tcPr>
            <w:tcW w:type="dxa" w:w="2880"/>
          </w:tcPr>
          <w:p>
            <w:r>
              <w:rPr>
                <w:rFonts w:ascii="Arial" w:hAnsi="Arial"/>
                <w:sz w:val="18"/>
              </w:rPr>
              <w:t>Not present as a table; described in prose</w:t>
            </w:r>
          </w:p>
        </w:tc>
      </w:tr>
    </w:tbl>
    <w:p/>
    <w:p>
      <w:pPr>
        <w:pStyle w:val="Heading1"/>
      </w:pPr>
      <w:r>
        <w:rPr>
          <w:rFonts w:ascii="Arial" w:hAnsi="Arial"/>
        </w:rPr>
        <w:t>5. Summary of Recommended Fixes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Pr>
                <w:rFonts w:ascii="Arial" w:hAnsi="Arial"/>
                <w:b/>
                <w:sz w:val="20"/>
              </w:rPr>
              <w:t>#</w:t>
            </w:r>
          </w:p>
        </w:tc>
        <w:tc>
          <w:tcPr>
            <w:tcW w:type="dxa" w:w="2880"/>
            <w:shd w:val="clear" w:color="auto" w:fill="D5E8F0"/>
          </w:tcPr>
          <w:p>
            <w:r>
              <w:rPr>
                <w:rFonts w:ascii="Arial" w:hAnsi="Arial"/>
                <w:b/>
                <w:sz w:val="20"/>
              </w:rPr>
              <w:t>Priority</w:t>
            </w:r>
          </w:p>
        </w:tc>
        <w:tc>
          <w:tcPr>
            <w:tcW w:type="dxa" w:w="2880"/>
            <w:shd w:val="clear" w:color="auto" w:fill="D5E8F0"/>
          </w:tcPr>
          <w:p>
            <w:r>
              <w:rPr>
                <w:rFonts w:ascii="Arial" w:hAnsi="Arial"/>
                <w:b/>
                <w:sz w:val="20"/>
              </w:rPr>
              <w:t>Recommendation</w:t>
            </w:r>
          </w:p>
        </w:tc>
      </w:tr>
      <w:tr>
        <w:tc>
          <w:tcPr>
            <w:tcW w:type="dxa" w:w="2880"/>
          </w:tcPr>
          <w:p>
            <w:r>
              <w:rPr>
                <w:rFonts w:ascii="Arial" w:hAnsi="Arial"/>
                <w:sz w:val="20"/>
              </w:rPr>
              <w:t>1</w:t>
            </w:r>
          </w:p>
        </w:tc>
        <w:tc>
          <w:tcPr>
            <w:tcW w:type="dxa" w:w="2880"/>
            <w:shd w:val="clear" w:color="auto" w:fill="FFD6D6"/>
          </w:tcPr>
          <w:p>
            <w:r>
              <w:rPr>
                <w:rFonts w:ascii="Arial" w:hAnsi="Arial"/>
                <w:sz w:val="20"/>
              </w:rPr>
              <w:t>HIGH</w:t>
            </w:r>
          </w:p>
        </w:tc>
        <w:tc>
          <w:tcPr>
            <w:tcW w:type="dxa" w:w="2880"/>
          </w:tcPr>
          <w:p>
            <w:r>
              <w:rPr>
                <w:rFonts w:ascii="Arial" w:hAnsi="Arial"/>
                <w:sz w:val="20"/>
              </w:rPr>
              <w:t>Decide on Dr Butt's correct title and role (Mr vs Dr; Consultant Ophthalmologist vs Clinical Lecturer) and make it consistent across: README.md, both PDF title pages, and the abstract of the full report.</w:t>
            </w:r>
          </w:p>
        </w:tc>
      </w:tr>
      <w:tr>
        <w:tc>
          <w:tcPr>
            <w:tcW w:type="dxa" w:w="2880"/>
          </w:tcPr>
          <w:p>
            <w:r>
              <w:rPr>
                <w:rFonts w:ascii="Arial" w:hAnsi="Arial"/>
                <w:sz w:val="20"/>
              </w:rPr>
              <w:t>2</w:t>
            </w:r>
          </w:p>
        </w:tc>
        <w:tc>
          <w:tcPr>
            <w:tcW w:type="dxa" w:w="2880"/>
            <w:shd w:val="clear" w:color="auto" w:fill="FFF2CC"/>
          </w:tcPr>
          <w:p>
            <w:r>
              <w:rPr>
                <w:rFonts w:ascii="Arial" w:hAnsi="Arial"/>
                <w:sz w:val="20"/>
              </w:rPr>
              <w:t>MEDIUM</w:t>
            </w:r>
          </w:p>
        </w:tc>
        <w:tc>
          <w:tcPr>
            <w:tcW w:type="dxa" w:w="2880"/>
          </w:tcPr>
          <w:p>
            <w:r>
              <w:rPr>
                <w:rFonts w:ascii="Arial" w:hAnsi="Arial"/>
                <w:sz w:val="20"/>
              </w:rPr>
              <w:t>Fix the internal inconsistency in FYP_Full_Report_Final.pdf abstract — it says "a consultant ophthalmologist" while the rest of the document names him as Clinical Lecturer.</w:t>
            </w:r>
          </w:p>
        </w:tc>
      </w:tr>
      <w:tr>
        <w:tc>
          <w:tcPr>
            <w:tcW w:type="dxa" w:w="2880"/>
          </w:tcPr>
          <w:p>
            <w:r>
              <w:rPr>
                <w:rFonts w:ascii="Arial" w:hAnsi="Arial"/>
                <w:sz w:val="20"/>
              </w:rPr>
              <w:t>3</w:t>
            </w:r>
          </w:p>
        </w:tc>
        <w:tc>
          <w:tcPr>
            <w:tcW w:type="dxa" w:w="2880"/>
            <w:shd w:val="clear" w:color="auto" w:fill="E8F5E9"/>
          </w:tcPr>
          <w:p>
            <w:r>
              <w:rPr>
                <w:rFonts w:ascii="Arial" w:hAnsi="Arial"/>
                <w:sz w:val="20"/>
              </w:rPr>
              <w:t>LOW</w:t>
            </w:r>
          </w:p>
        </w:tc>
        <w:tc>
          <w:tcPr>
            <w:tcW w:type="dxa" w:w="2880"/>
          </w:tcPr>
          <w:p>
            <w:r>
              <w:rPr>
                <w:rFonts w:ascii="Arial" w:hAnsi="Arial"/>
                <w:sz w:val="20"/>
              </w:rPr>
              <w:t>Add the final endorsement sentence to FYP_Report.pdf Section 1.1 callout, or remove it from the full report, so the quote is identical.</w:t>
            </w:r>
          </w:p>
        </w:tc>
      </w:tr>
      <w:tr>
        <w:tc>
          <w:tcPr>
            <w:tcW w:type="dxa" w:w="2880"/>
          </w:tcPr>
          <w:p>
            <w:r>
              <w:rPr>
                <w:rFonts w:ascii="Arial" w:hAnsi="Arial"/>
                <w:sz w:val="20"/>
              </w:rPr>
              <w:t>4</w:t>
            </w:r>
          </w:p>
        </w:tc>
        <w:tc>
          <w:tcPr>
            <w:tcW w:type="dxa" w:w="2880"/>
            <w:shd w:val="clear" w:color="auto" w:fill="E8F5E9"/>
          </w:tcPr>
          <w:p>
            <w:r>
              <w:rPr>
                <w:rFonts w:ascii="Arial" w:hAnsi="Arial"/>
                <w:sz w:val="20"/>
              </w:rPr>
              <w:t>LOW</w:t>
            </w:r>
          </w:p>
        </w:tc>
        <w:tc>
          <w:tcPr>
            <w:tcW w:type="dxa" w:w="2880"/>
          </w:tcPr>
          <w:p>
            <w:r>
              <w:rPr>
                <w:rFonts w:ascii="Arial" w:hAnsi="Arial"/>
                <w:sz w:val="20"/>
              </w:rPr>
              <w:t>Verify the 0.6/0.4 BCE+Dice coefficients in OpacityModel.ipynb; add them to the full report if confirmed, or remove from the short report if unverified.</w:t>
            </w:r>
          </w:p>
        </w:tc>
      </w:tr>
      <w:tr>
        <w:tc>
          <w:tcPr>
            <w:tcW w:type="dxa" w:w="2880"/>
          </w:tcPr>
          <w:p>
            <w:r>
              <w:rPr>
                <w:rFonts w:ascii="Arial" w:hAnsi="Arial"/>
                <w:sz w:val="20"/>
              </w:rPr>
              <w:t>5</w:t>
            </w:r>
          </w:p>
        </w:tc>
        <w:tc>
          <w:tcPr>
            <w:tcW w:type="dxa" w:w="2880"/>
            <w:shd w:val="clear" w:color="auto" w:fill="E8F5E9"/>
          </w:tcPr>
          <w:p>
            <w:r>
              <w:rPr>
                <w:rFonts w:ascii="Arial" w:hAnsi="Arial"/>
                <w:sz w:val="20"/>
              </w:rPr>
              <w:t>LOW</w:t>
            </w:r>
          </w:p>
        </w:tc>
        <w:tc>
          <w:tcPr>
            <w:tcW w:type="dxa" w:w="2880"/>
          </w:tcPr>
          <w:p>
            <w:r>
              <w:rPr>
                <w:rFonts w:ascii="Arial" w:hAnsi="Arial"/>
                <w:sz w:val="20"/>
              </w:rPr>
              <w:t>If Dr Butt specifically named the British Journal of Ophthalmology, add it to the short report's Section 4.6 feedback paragraph.</w:t>
            </w:r>
          </w:p>
        </w:tc>
      </w:tr>
    </w:tbl>
    <w:p/>
    <w:p>
      <w:pPr>
        <w:spacing w:after="120"/>
      </w:pPr>
      <w:r>
        <w:rPr>
          <w:rFonts w:ascii="Arial" w:hAnsi="Arial"/>
          <w:sz w:val="22"/>
        </w:rPr>
        <w:t>Overall assessment: Both reports are technically accurate against the repository. The code does exactly what is described — the models, measurement pipeline, database, LLM reporting, and unit tests all match their descriptions. The issues identified are limited to a title/role inconsistency for Dr Butt, one internal inconsistency within the full report's abstract, and minor completeness differences between the two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