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26106" w14:textId="77777777" w:rsidR="000A55B1" w:rsidRDefault="00000000">
      <w:pPr>
        <w:pStyle w:val="Titre1"/>
      </w:pPr>
      <w:r>
        <w:t>Projet d'Économétrie – Analyse des importations marocaines</w:t>
      </w:r>
    </w:p>
    <w:p w14:paraId="38A0D9E1" w14:textId="77777777" w:rsidR="000A55B1" w:rsidRDefault="00000000">
      <w:pPr>
        <w:pStyle w:val="Titre2"/>
      </w:pPr>
      <w:r>
        <w:t>1. Introduction et objectif du projet</w:t>
      </w:r>
    </w:p>
    <w:p w14:paraId="0DD35725" w14:textId="2423FD2B" w:rsidR="000A55B1" w:rsidRDefault="00000000">
      <w:r>
        <w:t xml:space="preserve">Ce projet vise à étudier la relation entre les importations marocaines (M), le produit intérieur brut (PIB) et le niveau général des prix (IPC) sur la </w:t>
      </w:r>
      <w:proofErr w:type="spellStart"/>
      <w:r>
        <w:t>période</w:t>
      </w:r>
      <w:proofErr w:type="spellEnd"/>
      <w:r>
        <w:t xml:space="preserve"> 1960–201</w:t>
      </w:r>
      <w:r w:rsidR="0052600A">
        <w:t>7</w:t>
      </w:r>
      <w:r>
        <w:t>. À l’aide d’un modèle de régression multiple, nous cherchons à identifier les déterminants économiques des importations et à tester la validité des hypothèses classiques des MCO.</w:t>
      </w:r>
    </w:p>
    <w:p w14:paraId="7FC2E813" w14:textId="77777777" w:rsidR="000A55B1" w:rsidRDefault="00000000">
      <w:r>
        <w:t>L’objectif principal est d’évaluer comment les importations réagissent aux variations du PIB et de l’IPC, et de proposer des améliorations si le modèle de base viole certaines hypothèses économétriques (autocorrélation, hétéroscédasticité, multicolinéarité).</w:t>
      </w:r>
    </w:p>
    <w:p w14:paraId="734E2599" w14:textId="77777777" w:rsidR="000A55B1" w:rsidRDefault="00000000">
      <w:pPr>
        <w:pStyle w:val="Titre2"/>
      </w:pPr>
      <w:r>
        <w:t>2. Spécification du modèle</w:t>
      </w:r>
    </w:p>
    <w:p w14:paraId="180552CC" w14:textId="77777777" w:rsidR="000A55B1" w:rsidRDefault="00000000">
      <w:r>
        <w:t>Nous estimons un modèle log-linéaire :</w:t>
      </w:r>
      <w:r>
        <w:br/>
      </w:r>
      <w:r>
        <w:br/>
        <w:t>log(M_t) = β₀ + β₁ log(PIB_t) + β₂ log(IPC_t) + u_t</w:t>
      </w:r>
      <w:r>
        <w:br/>
      </w:r>
      <w:r>
        <w:br/>
        <w:t>Cette forme permet d’interpréter directement les coefficients β₁ et β₂ comme des élasticités.</w:t>
      </w:r>
    </w:p>
    <w:p w14:paraId="1F462B76" w14:textId="77777777" w:rsidR="000A55B1" w:rsidRDefault="00000000">
      <w:pPr>
        <w:pStyle w:val="Titre2"/>
      </w:pPr>
      <w:r>
        <w:t>3. Estimation et résultats (MCO)</w:t>
      </w:r>
    </w:p>
    <w:p w14:paraId="61FE0F0E" w14:textId="77777777" w:rsidR="000A55B1" w:rsidRDefault="00000000">
      <w:r>
        <w:t>Les estimations obtenues dans EViews sont les suivantes :</w:t>
      </w:r>
    </w:p>
    <w:tbl>
      <w:tblPr>
        <w:tblW w:w="0" w:type="auto"/>
        <w:tblLook w:val="04A0" w:firstRow="1" w:lastRow="0" w:firstColumn="1" w:lastColumn="0" w:noHBand="0" w:noVBand="1"/>
      </w:tblPr>
      <w:tblGrid>
        <w:gridCol w:w="2160"/>
        <w:gridCol w:w="2160"/>
        <w:gridCol w:w="2160"/>
        <w:gridCol w:w="2160"/>
      </w:tblGrid>
      <w:tr w:rsidR="000A55B1" w14:paraId="2169A75B" w14:textId="77777777">
        <w:tc>
          <w:tcPr>
            <w:tcW w:w="2160" w:type="dxa"/>
          </w:tcPr>
          <w:p w14:paraId="6A9466F9" w14:textId="77777777" w:rsidR="000A55B1" w:rsidRDefault="00000000">
            <w:r>
              <w:t>Variable</w:t>
            </w:r>
          </w:p>
        </w:tc>
        <w:tc>
          <w:tcPr>
            <w:tcW w:w="2160" w:type="dxa"/>
          </w:tcPr>
          <w:p w14:paraId="5A3F44F5" w14:textId="77777777" w:rsidR="000A55B1" w:rsidRDefault="00000000">
            <w:r>
              <w:t>Coefficient</w:t>
            </w:r>
          </w:p>
        </w:tc>
        <w:tc>
          <w:tcPr>
            <w:tcW w:w="2160" w:type="dxa"/>
          </w:tcPr>
          <w:p w14:paraId="4845576D" w14:textId="77777777" w:rsidR="000A55B1" w:rsidRDefault="00000000">
            <w:r>
              <w:t>p-value</w:t>
            </w:r>
          </w:p>
        </w:tc>
        <w:tc>
          <w:tcPr>
            <w:tcW w:w="2160" w:type="dxa"/>
          </w:tcPr>
          <w:p w14:paraId="2737C412" w14:textId="77777777" w:rsidR="000A55B1" w:rsidRDefault="00000000">
            <w:r>
              <w:t>Interprétation</w:t>
            </w:r>
          </w:p>
        </w:tc>
      </w:tr>
      <w:tr w:rsidR="000A55B1" w14:paraId="515369F2" w14:textId="77777777">
        <w:tc>
          <w:tcPr>
            <w:tcW w:w="2160" w:type="dxa"/>
          </w:tcPr>
          <w:p w14:paraId="6D46061A" w14:textId="77777777" w:rsidR="000A55B1" w:rsidRDefault="00000000">
            <w:r>
              <w:t>Constante (β₀)</w:t>
            </w:r>
          </w:p>
        </w:tc>
        <w:tc>
          <w:tcPr>
            <w:tcW w:w="2160" w:type="dxa"/>
          </w:tcPr>
          <w:p w14:paraId="32650E8E" w14:textId="77777777" w:rsidR="000A55B1" w:rsidRDefault="00000000">
            <w:r>
              <w:t>-0.8317</w:t>
            </w:r>
          </w:p>
        </w:tc>
        <w:tc>
          <w:tcPr>
            <w:tcW w:w="2160" w:type="dxa"/>
          </w:tcPr>
          <w:p w14:paraId="69EC21D8" w14:textId="77777777" w:rsidR="000A55B1" w:rsidRDefault="00000000">
            <w:r>
              <w:t>0.0015</w:t>
            </w:r>
          </w:p>
        </w:tc>
        <w:tc>
          <w:tcPr>
            <w:tcW w:w="2160" w:type="dxa"/>
          </w:tcPr>
          <w:p w14:paraId="22DB4784" w14:textId="77777777" w:rsidR="000A55B1" w:rsidRDefault="00000000">
            <w:r>
              <w:t>Significatif, valeur moyenne négative des importations en log</w:t>
            </w:r>
          </w:p>
        </w:tc>
      </w:tr>
      <w:tr w:rsidR="000A55B1" w14:paraId="2948D27F" w14:textId="77777777">
        <w:tc>
          <w:tcPr>
            <w:tcW w:w="2160" w:type="dxa"/>
          </w:tcPr>
          <w:p w14:paraId="08143E56" w14:textId="77777777" w:rsidR="000A55B1" w:rsidRDefault="00000000">
            <w:r>
              <w:t>log(PIB) (β₁)</w:t>
            </w:r>
          </w:p>
        </w:tc>
        <w:tc>
          <w:tcPr>
            <w:tcW w:w="2160" w:type="dxa"/>
          </w:tcPr>
          <w:p w14:paraId="0BA81F6B" w14:textId="77777777" w:rsidR="000A55B1" w:rsidRDefault="00000000">
            <w:r>
              <w:t>1.82497</w:t>
            </w:r>
          </w:p>
        </w:tc>
        <w:tc>
          <w:tcPr>
            <w:tcW w:w="2160" w:type="dxa"/>
          </w:tcPr>
          <w:p w14:paraId="4BCA0BDC" w14:textId="77777777" w:rsidR="000A55B1" w:rsidRDefault="00000000">
            <w:r>
              <w:t>7.25e-18</w:t>
            </w:r>
          </w:p>
        </w:tc>
        <w:tc>
          <w:tcPr>
            <w:tcW w:w="2160" w:type="dxa"/>
          </w:tcPr>
          <w:p w14:paraId="2135D569" w14:textId="77777777" w:rsidR="000A55B1" w:rsidRDefault="00000000">
            <w:r>
              <w:t>Élasticité positive très forte</w:t>
            </w:r>
          </w:p>
        </w:tc>
      </w:tr>
      <w:tr w:rsidR="000A55B1" w14:paraId="4C0864DD" w14:textId="77777777">
        <w:tc>
          <w:tcPr>
            <w:tcW w:w="2160" w:type="dxa"/>
          </w:tcPr>
          <w:p w14:paraId="69C01233" w14:textId="77777777" w:rsidR="000A55B1" w:rsidRDefault="00000000">
            <w:r>
              <w:t>log(IPC) (β₂)</w:t>
            </w:r>
          </w:p>
        </w:tc>
        <w:tc>
          <w:tcPr>
            <w:tcW w:w="2160" w:type="dxa"/>
          </w:tcPr>
          <w:p w14:paraId="088713FC" w14:textId="77777777" w:rsidR="000A55B1" w:rsidRDefault="00000000">
            <w:r>
              <w:t>-1.20230</w:t>
            </w:r>
          </w:p>
        </w:tc>
        <w:tc>
          <w:tcPr>
            <w:tcW w:w="2160" w:type="dxa"/>
          </w:tcPr>
          <w:p w14:paraId="41165BC6" w14:textId="77777777" w:rsidR="000A55B1" w:rsidRDefault="00000000">
            <w:r>
              <w:t>1.90e-05</w:t>
            </w:r>
          </w:p>
        </w:tc>
        <w:tc>
          <w:tcPr>
            <w:tcW w:w="2160" w:type="dxa"/>
          </w:tcPr>
          <w:p w14:paraId="11CBA1BC" w14:textId="77777777" w:rsidR="000A55B1" w:rsidRDefault="00000000">
            <w:r>
              <w:t>Élasticité négative, effet prix</w:t>
            </w:r>
          </w:p>
        </w:tc>
      </w:tr>
    </w:tbl>
    <w:p w14:paraId="79125BA2" w14:textId="77777777" w:rsidR="000A55B1" w:rsidRDefault="00000000">
      <w:r>
        <w:t>R² = 0.9930, R² ajusté = 0.9927 → le modèle explique très bien la variation des importations.</w:t>
      </w:r>
      <w:r>
        <w:br/>
        <w:t>Cependant, un R² élevé n’assure pas la validité économétrique si les hypothèses ne sont pas respectées.</w:t>
      </w:r>
    </w:p>
    <w:p w14:paraId="50523E87" w14:textId="77777777" w:rsidR="000A55B1" w:rsidRDefault="00000000">
      <w:pPr>
        <w:pStyle w:val="Titre2"/>
      </w:pPr>
      <w:r>
        <w:t>4. Tests économétriques</w:t>
      </w:r>
    </w:p>
    <w:p w14:paraId="7E359170" w14:textId="77777777" w:rsidR="000A55B1" w:rsidRDefault="00000000">
      <w:r>
        <w:t>Les principaux tests de diagnostic réalisés dans EViews sont résumés ci-dessous :</w:t>
      </w:r>
    </w:p>
    <w:tbl>
      <w:tblPr>
        <w:tblW w:w="0" w:type="auto"/>
        <w:tblLook w:val="04A0" w:firstRow="1" w:lastRow="0" w:firstColumn="1" w:lastColumn="0" w:noHBand="0" w:noVBand="1"/>
      </w:tblPr>
      <w:tblGrid>
        <w:gridCol w:w="2880"/>
        <w:gridCol w:w="2880"/>
        <w:gridCol w:w="2880"/>
      </w:tblGrid>
      <w:tr w:rsidR="000A55B1" w14:paraId="757EAEB6" w14:textId="77777777">
        <w:tc>
          <w:tcPr>
            <w:tcW w:w="2880" w:type="dxa"/>
          </w:tcPr>
          <w:p w14:paraId="68197211" w14:textId="77777777" w:rsidR="000A55B1" w:rsidRDefault="00000000">
            <w:r>
              <w:t>Test</w:t>
            </w:r>
          </w:p>
        </w:tc>
        <w:tc>
          <w:tcPr>
            <w:tcW w:w="2880" w:type="dxa"/>
          </w:tcPr>
          <w:p w14:paraId="3339E419" w14:textId="77777777" w:rsidR="000A55B1" w:rsidRDefault="00000000">
            <w:r>
              <w:t>Résultat</w:t>
            </w:r>
          </w:p>
        </w:tc>
        <w:tc>
          <w:tcPr>
            <w:tcW w:w="2880" w:type="dxa"/>
          </w:tcPr>
          <w:p w14:paraId="4EF05877" w14:textId="77777777" w:rsidR="000A55B1" w:rsidRDefault="00000000">
            <w:r>
              <w:t>Interprétation</w:t>
            </w:r>
          </w:p>
        </w:tc>
      </w:tr>
      <w:tr w:rsidR="000A55B1" w14:paraId="4148C208" w14:textId="77777777">
        <w:tc>
          <w:tcPr>
            <w:tcW w:w="2880" w:type="dxa"/>
          </w:tcPr>
          <w:p w14:paraId="18016206" w14:textId="77777777" w:rsidR="000A55B1" w:rsidRDefault="00000000">
            <w:r>
              <w:lastRenderedPageBreak/>
              <w:t>Durbin–Watson</w:t>
            </w:r>
          </w:p>
        </w:tc>
        <w:tc>
          <w:tcPr>
            <w:tcW w:w="2880" w:type="dxa"/>
          </w:tcPr>
          <w:p w14:paraId="081A34DC" w14:textId="77777777" w:rsidR="000A55B1" w:rsidRDefault="00000000">
            <w:r>
              <w:t>0.6691</w:t>
            </w:r>
          </w:p>
        </w:tc>
        <w:tc>
          <w:tcPr>
            <w:tcW w:w="2880" w:type="dxa"/>
          </w:tcPr>
          <w:p w14:paraId="706A83A2" w14:textId="77777777" w:rsidR="000A55B1" w:rsidRDefault="00000000">
            <w:r>
              <w:t>Autocorrélation positive des résidus (problème de dépendance temporelle)</w:t>
            </w:r>
          </w:p>
        </w:tc>
      </w:tr>
      <w:tr w:rsidR="000A55B1" w14:paraId="2B3AE654" w14:textId="77777777">
        <w:tc>
          <w:tcPr>
            <w:tcW w:w="2880" w:type="dxa"/>
          </w:tcPr>
          <w:p w14:paraId="1F488134" w14:textId="77777777" w:rsidR="000A55B1" w:rsidRDefault="00000000">
            <w:r>
              <w:t>Jarque–Bera (p=0.4319)</w:t>
            </w:r>
          </w:p>
        </w:tc>
        <w:tc>
          <w:tcPr>
            <w:tcW w:w="2880" w:type="dxa"/>
          </w:tcPr>
          <w:p w14:paraId="3B9168A1" w14:textId="77777777" w:rsidR="000A55B1" w:rsidRDefault="00000000">
            <w:r>
              <w:t>Normaux</w:t>
            </w:r>
          </w:p>
        </w:tc>
        <w:tc>
          <w:tcPr>
            <w:tcW w:w="2880" w:type="dxa"/>
          </w:tcPr>
          <w:p w14:paraId="5467BFEE" w14:textId="77777777" w:rsidR="000A55B1" w:rsidRDefault="00000000">
            <w:r>
              <w:t>Hypothèse de normalité respectée</w:t>
            </w:r>
          </w:p>
        </w:tc>
      </w:tr>
      <w:tr w:rsidR="000A55B1" w14:paraId="10702FC4" w14:textId="77777777">
        <w:tc>
          <w:tcPr>
            <w:tcW w:w="2880" w:type="dxa"/>
          </w:tcPr>
          <w:p w14:paraId="0DA2E854" w14:textId="77777777" w:rsidR="000A55B1" w:rsidRDefault="00000000">
            <w:r>
              <w:t>Breusch–Pagan (p=0.0045)</w:t>
            </w:r>
          </w:p>
        </w:tc>
        <w:tc>
          <w:tcPr>
            <w:tcW w:w="2880" w:type="dxa"/>
          </w:tcPr>
          <w:p w14:paraId="3DB7A0C1" w14:textId="77777777" w:rsidR="000A55B1" w:rsidRDefault="00000000">
            <w:r>
              <w:t>Hétéroscédasticité présente</w:t>
            </w:r>
          </w:p>
        </w:tc>
        <w:tc>
          <w:tcPr>
            <w:tcW w:w="2880" w:type="dxa"/>
          </w:tcPr>
          <w:p w14:paraId="489ED578" w14:textId="77777777" w:rsidR="000A55B1" w:rsidRDefault="00000000">
            <w:r>
              <w:t>Variance non constante des erreurs</w:t>
            </w:r>
          </w:p>
        </w:tc>
      </w:tr>
      <w:tr w:rsidR="000A55B1" w14:paraId="514C887A" w14:textId="77777777">
        <w:tc>
          <w:tcPr>
            <w:tcW w:w="2880" w:type="dxa"/>
          </w:tcPr>
          <w:p w14:paraId="3AE53D82" w14:textId="77777777" w:rsidR="000A55B1" w:rsidRDefault="00000000">
            <w:r>
              <w:t>White (p=0.0161)</w:t>
            </w:r>
          </w:p>
        </w:tc>
        <w:tc>
          <w:tcPr>
            <w:tcW w:w="2880" w:type="dxa"/>
          </w:tcPr>
          <w:p w14:paraId="07756CC3" w14:textId="77777777" w:rsidR="000A55B1" w:rsidRDefault="00000000">
            <w:r>
              <w:t>Hétéroscédasticité présente</w:t>
            </w:r>
          </w:p>
        </w:tc>
        <w:tc>
          <w:tcPr>
            <w:tcW w:w="2880" w:type="dxa"/>
          </w:tcPr>
          <w:p w14:paraId="3EDA21B9" w14:textId="77777777" w:rsidR="000A55B1" w:rsidRDefault="00000000">
            <w:r>
              <w:t>Erreur-type MCO non fiables</w:t>
            </w:r>
          </w:p>
        </w:tc>
      </w:tr>
      <w:tr w:rsidR="000A55B1" w14:paraId="57D5D29C" w14:textId="77777777">
        <w:tc>
          <w:tcPr>
            <w:tcW w:w="2880" w:type="dxa"/>
          </w:tcPr>
          <w:p w14:paraId="001C9B19" w14:textId="77777777" w:rsidR="000A55B1" w:rsidRDefault="00000000">
            <w:r>
              <w:t>VIF(logPIB)=122.41</w:t>
            </w:r>
          </w:p>
        </w:tc>
        <w:tc>
          <w:tcPr>
            <w:tcW w:w="2880" w:type="dxa"/>
          </w:tcPr>
          <w:p w14:paraId="6476BB56" w14:textId="77777777" w:rsidR="000A55B1" w:rsidRDefault="00000000">
            <w:r>
              <w:t>VIF(logIPC)=122.41</w:t>
            </w:r>
          </w:p>
        </w:tc>
        <w:tc>
          <w:tcPr>
            <w:tcW w:w="2880" w:type="dxa"/>
          </w:tcPr>
          <w:p w14:paraId="39FDC75B" w14:textId="77777777" w:rsidR="000A55B1" w:rsidRDefault="00000000">
            <w:r>
              <w:t>Multicolinéarité extrême entre variables explicatives</w:t>
            </w:r>
          </w:p>
        </w:tc>
      </w:tr>
    </w:tbl>
    <w:p w14:paraId="40FDA1BC" w14:textId="77777777" w:rsidR="000A55B1" w:rsidRDefault="00000000">
      <w:r>
        <w:t>Les résultats indiquent des violations des hypothèses classiques (autocorrélation, hétéroscédasticité et multicolinéarité). Ces problèmes affectent la fiabilité des tests de Student et des intervalles de confiance.</w:t>
      </w:r>
    </w:p>
    <w:p w14:paraId="5D3274D3" w14:textId="77777777" w:rsidR="000A55B1" w:rsidRDefault="00000000">
      <w:pPr>
        <w:pStyle w:val="Titre2"/>
      </w:pPr>
      <w:r>
        <w:t>5. Modèle en différences premières</w:t>
      </w:r>
    </w:p>
    <w:p w14:paraId="73B8A016" w14:textId="77777777" w:rsidR="000A55B1" w:rsidRDefault="00000000">
      <w:r>
        <w:t>Afin de corriger ces problèmes, nous avons estimé le modèle en différences premières :</w:t>
      </w:r>
      <w:r>
        <w:br/>
      </w:r>
      <w:r>
        <w:br/>
        <w:t>Δlog(M_t) = β₀ + β₁ Δlog(PIB_t) + β₂ Δlog(IPC_t) + ε_t</w:t>
      </w:r>
      <w:r>
        <w:br/>
      </w:r>
      <w:r>
        <w:br/>
        <w:t>Cette approche correspond à une analyse des taux de croissance et permet souvent de réduire la non-stationnarité et la colinéarité.</w:t>
      </w:r>
    </w:p>
    <w:p w14:paraId="0CE2593E" w14:textId="77777777" w:rsidR="000A55B1" w:rsidRDefault="00000000">
      <w:r>
        <w:t>Résultats :</w:t>
      </w:r>
      <w:r>
        <w:br/>
        <w:t>Constante = 0.0259 (p = 0.262)</w:t>
      </w:r>
      <w:r>
        <w:br/>
        <w:t>Δlog(PIB) = 0.3225 (p = 0.294) → non significatif</w:t>
      </w:r>
      <w:r>
        <w:br/>
        <w:t>Δlog(IPC) = 0.9959 (p = 0.056) → limite de significativité (≈ 5–10%)</w:t>
      </w:r>
    </w:p>
    <w:p w14:paraId="62864CB4" w14:textId="77777777" w:rsidR="000A55B1" w:rsidRDefault="00000000">
      <w:r>
        <w:t>L’estimation en différences premières montre une amélioration de la colinéarité mais une perte de significativité statistique.</w:t>
      </w:r>
    </w:p>
    <w:p w14:paraId="55398389" w14:textId="77777777" w:rsidR="000A55B1" w:rsidRDefault="00000000">
      <w:pPr>
        <w:pStyle w:val="Titre2"/>
      </w:pPr>
      <w:r>
        <w:t>6. Interprétation économique et conclusion</w:t>
      </w:r>
    </w:p>
    <w:p w14:paraId="1A77F910" w14:textId="77777777" w:rsidR="000A55B1" w:rsidRDefault="00000000">
      <w:r>
        <w:t>Les importations marocaines réagissent positivement à la croissance du PIB et négativement à la hausse de l’IPC. Cela confirme que la demande d’importations augmente avec l’activité économique, mais diminue lorsque les prix intérieurs augmentent (effet de substitution).</w:t>
      </w:r>
    </w:p>
    <w:p w14:paraId="079A8992" w14:textId="77777777" w:rsidR="000A55B1" w:rsidRDefault="00000000">
      <w:r>
        <w:t>Malgré un excellent R² en niveaux, la présence d’autocorrélation et d’hétéroscédasticité rend le modèle initial peu fiable économétriquement. Le modèle en différences premières, bien que moins significatif, offre une meilleure robustesse statistique.</w:t>
      </w:r>
    </w:p>
    <w:p w14:paraId="4E9C66B4" w14:textId="77777777" w:rsidR="000A55B1" w:rsidRDefault="00000000">
      <w:r>
        <w:lastRenderedPageBreak/>
        <w:t>Ainsi, l’analyse économétrique met en évidence le rôle déterminant du PIB dans l’explication des importations marocaines, tout en soulignant l’importance de vérifier systématiquement les hypothèses des MCO dans les séries temporelles.</w:t>
      </w:r>
    </w:p>
    <w:sectPr w:rsidR="000A55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0423982">
    <w:abstractNumId w:val="8"/>
  </w:num>
  <w:num w:numId="2" w16cid:durableId="1052583371">
    <w:abstractNumId w:val="6"/>
  </w:num>
  <w:num w:numId="3" w16cid:durableId="1075476071">
    <w:abstractNumId w:val="5"/>
  </w:num>
  <w:num w:numId="4" w16cid:durableId="121582066">
    <w:abstractNumId w:val="4"/>
  </w:num>
  <w:num w:numId="5" w16cid:durableId="1564607936">
    <w:abstractNumId w:val="7"/>
  </w:num>
  <w:num w:numId="6" w16cid:durableId="107311445">
    <w:abstractNumId w:val="3"/>
  </w:num>
  <w:num w:numId="7" w16cid:durableId="805465121">
    <w:abstractNumId w:val="2"/>
  </w:num>
  <w:num w:numId="8" w16cid:durableId="1161580783">
    <w:abstractNumId w:val="1"/>
  </w:num>
  <w:num w:numId="9" w16cid:durableId="713313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5B1"/>
    <w:rsid w:val="0015074B"/>
    <w:rsid w:val="00241B48"/>
    <w:rsid w:val="0029639D"/>
    <w:rsid w:val="00326F90"/>
    <w:rsid w:val="005260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19069"/>
  <w14:defaultImageDpi w14:val="300"/>
  <w15:docId w15:val="{F05FC7EE-444B-48F8-8846-9D608BB4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560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2025-11-10T16:09:00Z</dcterms:modified>
  <cp:category/>
</cp:coreProperties>
</file>